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4C4" w:rsidRDefault="005624C4" w:rsidP="005624C4">
      <w:pPr>
        <w:spacing w:line="360" w:lineRule="auto"/>
        <w:jc w:val="center"/>
        <w:rPr>
          <w:rFonts w:ascii="Times New Roman" w:hAnsi="Times New Roman" w:cs="Times New Roman"/>
          <w:sz w:val="24"/>
        </w:rPr>
      </w:pPr>
      <w:bookmarkStart w:id="0" w:name="_Hlk184646717"/>
    </w:p>
    <w:p w:rsidR="005624C4" w:rsidRDefault="005624C4" w:rsidP="005624C4">
      <w:pPr>
        <w:spacing w:line="360" w:lineRule="auto"/>
        <w:jc w:val="center"/>
        <w:rPr>
          <w:rFonts w:ascii="Times New Roman" w:hAnsi="Times New Roman" w:cs="Times New Roman"/>
          <w:sz w:val="24"/>
        </w:rPr>
      </w:pPr>
    </w:p>
    <w:p w:rsidR="005624C4" w:rsidRDefault="005624C4" w:rsidP="005624C4">
      <w:pPr>
        <w:spacing w:line="360" w:lineRule="auto"/>
        <w:jc w:val="center"/>
        <w:rPr>
          <w:rFonts w:ascii="Times New Roman" w:hAnsi="Times New Roman" w:cs="Times New Roman"/>
          <w:sz w:val="24"/>
        </w:rPr>
      </w:pPr>
    </w:p>
    <w:p w:rsidR="005624C4" w:rsidRDefault="005624C4" w:rsidP="005624C4">
      <w:pPr>
        <w:spacing w:line="360" w:lineRule="auto"/>
        <w:jc w:val="center"/>
        <w:rPr>
          <w:rFonts w:ascii="Times New Roman" w:hAnsi="Times New Roman" w:cs="Times New Roman"/>
          <w:sz w:val="24"/>
        </w:rPr>
      </w:pPr>
    </w:p>
    <w:p w:rsidR="005624C4" w:rsidRDefault="005624C4" w:rsidP="005624C4">
      <w:pPr>
        <w:spacing w:line="360" w:lineRule="auto"/>
        <w:jc w:val="center"/>
        <w:rPr>
          <w:rFonts w:ascii="Times New Roman" w:hAnsi="Times New Roman" w:cs="Times New Roman"/>
          <w:sz w:val="24"/>
        </w:rPr>
      </w:pPr>
    </w:p>
    <w:p w:rsidR="005624C4" w:rsidRDefault="005624C4" w:rsidP="005624C4">
      <w:pPr>
        <w:spacing w:line="360" w:lineRule="auto"/>
        <w:jc w:val="center"/>
        <w:rPr>
          <w:rFonts w:ascii="Times New Roman" w:hAnsi="Times New Roman" w:cs="Times New Roman"/>
          <w:sz w:val="24"/>
        </w:rPr>
      </w:pPr>
    </w:p>
    <w:p w:rsidR="005624C4" w:rsidRDefault="005624C4" w:rsidP="005624C4">
      <w:pPr>
        <w:spacing w:line="360" w:lineRule="auto"/>
        <w:jc w:val="center"/>
        <w:rPr>
          <w:rFonts w:ascii="Times New Roman" w:hAnsi="Times New Roman" w:cs="Times New Roman"/>
          <w:sz w:val="24"/>
        </w:rPr>
      </w:pPr>
    </w:p>
    <w:p w:rsidR="005624C4" w:rsidRPr="005624C4" w:rsidRDefault="005624C4" w:rsidP="005624C4">
      <w:pPr>
        <w:spacing w:line="360" w:lineRule="auto"/>
        <w:jc w:val="center"/>
        <w:rPr>
          <w:rFonts w:ascii="Times New Roman" w:hAnsi="Times New Roman" w:cs="Times New Roman"/>
          <w:sz w:val="24"/>
        </w:rPr>
      </w:pPr>
      <w:r w:rsidRPr="005624C4">
        <w:rPr>
          <w:rFonts w:ascii="Times New Roman" w:hAnsi="Times New Roman" w:cs="Times New Roman"/>
          <w:sz w:val="24"/>
        </w:rPr>
        <w:t>Business Law</w:t>
      </w:r>
    </w:p>
    <w:p w:rsidR="005624C4" w:rsidRPr="005624C4" w:rsidRDefault="005624C4" w:rsidP="005624C4">
      <w:pPr>
        <w:spacing w:line="360" w:lineRule="auto"/>
        <w:jc w:val="center"/>
        <w:rPr>
          <w:rFonts w:ascii="Times New Roman" w:hAnsi="Times New Roman" w:cs="Times New Roman"/>
          <w:sz w:val="24"/>
        </w:rPr>
      </w:pPr>
      <w:r w:rsidRPr="005624C4">
        <w:rPr>
          <w:rFonts w:ascii="Times New Roman" w:hAnsi="Times New Roman" w:cs="Times New Roman"/>
          <w:sz w:val="24"/>
        </w:rPr>
        <w:t>[Name of Student]</w:t>
      </w:r>
    </w:p>
    <w:p w:rsidR="005624C4" w:rsidRPr="005624C4" w:rsidRDefault="005624C4" w:rsidP="005624C4">
      <w:pPr>
        <w:spacing w:line="360" w:lineRule="auto"/>
        <w:jc w:val="center"/>
        <w:rPr>
          <w:rFonts w:ascii="Times New Roman" w:hAnsi="Times New Roman" w:cs="Times New Roman"/>
          <w:sz w:val="24"/>
        </w:rPr>
      </w:pPr>
      <w:r w:rsidRPr="005624C4">
        <w:rPr>
          <w:rFonts w:ascii="Times New Roman" w:hAnsi="Times New Roman" w:cs="Times New Roman"/>
          <w:sz w:val="24"/>
        </w:rPr>
        <w:t>[Name of Institute]</w:t>
      </w:r>
    </w:p>
    <w:p w:rsidR="005624C4" w:rsidRPr="005624C4" w:rsidRDefault="005624C4" w:rsidP="005624C4">
      <w:pPr>
        <w:spacing w:line="360" w:lineRule="auto"/>
        <w:jc w:val="center"/>
        <w:rPr>
          <w:rFonts w:ascii="Times New Roman" w:hAnsi="Times New Roman" w:cs="Times New Roman"/>
          <w:sz w:val="24"/>
        </w:rPr>
      </w:pPr>
      <w:r w:rsidRPr="005624C4">
        <w:rPr>
          <w:rFonts w:ascii="Times New Roman" w:hAnsi="Times New Roman" w:cs="Times New Roman"/>
          <w:sz w:val="24"/>
        </w:rPr>
        <w:t>[Date]</w:t>
      </w:r>
    </w:p>
    <w:p w:rsidR="005624C4" w:rsidRPr="005624C4" w:rsidRDefault="005624C4" w:rsidP="005624C4">
      <w:pPr>
        <w:pStyle w:val="Heading1"/>
        <w:spacing w:line="360" w:lineRule="auto"/>
        <w:rPr>
          <w:rFonts w:ascii="Times New Roman" w:eastAsia="Times New Roman" w:hAnsi="Times New Roman" w:cs="Times New Roman"/>
          <w:b/>
          <w:sz w:val="24"/>
          <w:szCs w:val="24"/>
        </w:rPr>
      </w:pPr>
    </w:p>
    <w:p w:rsidR="005624C4" w:rsidRPr="005624C4" w:rsidRDefault="005624C4" w:rsidP="005624C4">
      <w:pPr>
        <w:pStyle w:val="Heading1"/>
        <w:spacing w:line="360" w:lineRule="auto"/>
        <w:rPr>
          <w:rFonts w:ascii="Times New Roman" w:eastAsia="Times New Roman" w:hAnsi="Times New Roman" w:cs="Times New Roman"/>
          <w:b/>
          <w:sz w:val="24"/>
          <w:szCs w:val="24"/>
        </w:rPr>
      </w:pPr>
    </w:p>
    <w:p w:rsidR="005624C4" w:rsidRPr="005624C4" w:rsidRDefault="005624C4">
      <w:pPr>
        <w:rPr>
          <w:rFonts w:ascii="Times New Roman" w:eastAsia="Times New Roman" w:hAnsi="Times New Roman" w:cs="Times New Roman"/>
          <w:b/>
          <w:color w:val="2F5496" w:themeColor="accent1" w:themeShade="BF"/>
          <w:sz w:val="24"/>
          <w:szCs w:val="24"/>
        </w:rPr>
      </w:pPr>
      <w:r w:rsidRPr="005624C4">
        <w:rPr>
          <w:rFonts w:ascii="Times New Roman" w:eastAsia="Times New Roman" w:hAnsi="Times New Roman" w:cs="Times New Roman"/>
          <w:b/>
          <w:sz w:val="24"/>
          <w:szCs w:val="24"/>
        </w:rPr>
        <w:br w:type="page"/>
      </w:r>
    </w:p>
    <w:sdt>
      <w:sdtPr>
        <w:rPr>
          <w:rFonts w:asciiTheme="minorHAnsi" w:eastAsiaTheme="minorHAnsi" w:hAnsiTheme="minorHAnsi" w:cstheme="minorBidi"/>
          <w:color w:val="auto"/>
          <w:sz w:val="22"/>
          <w:szCs w:val="22"/>
        </w:rPr>
        <w:id w:val="1216467653"/>
        <w:docPartObj>
          <w:docPartGallery w:val="Table of Contents"/>
          <w:docPartUnique/>
        </w:docPartObj>
      </w:sdtPr>
      <w:sdtEndPr>
        <w:rPr>
          <w:rFonts w:asciiTheme="majorBidi" w:hAnsiTheme="majorBidi" w:cstheme="majorBidi"/>
          <w:bCs/>
          <w:noProof/>
          <w:sz w:val="24"/>
          <w:szCs w:val="24"/>
        </w:rPr>
      </w:sdtEndPr>
      <w:sdtContent>
        <w:p w:rsidR="005624C4" w:rsidRPr="005624C4" w:rsidRDefault="005624C4" w:rsidP="005624C4">
          <w:pPr>
            <w:pStyle w:val="TOCHeading"/>
            <w:spacing w:line="360" w:lineRule="auto"/>
            <w:jc w:val="center"/>
          </w:pPr>
          <w:r w:rsidRPr="005624C4">
            <w:t>Table of Contents</w:t>
          </w:r>
        </w:p>
        <w:p w:rsidR="00263CBE" w:rsidRPr="00263CBE" w:rsidRDefault="005624C4" w:rsidP="00263CBE">
          <w:pPr>
            <w:pStyle w:val="TOC1"/>
            <w:tabs>
              <w:tab w:val="right" w:leader="dot" w:pos="9350"/>
            </w:tabs>
            <w:spacing w:line="360" w:lineRule="auto"/>
            <w:jc w:val="both"/>
            <w:rPr>
              <w:rFonts w:asciiTheme="majorBidi" w:eastAsiaTheme="minorEastAsia" w:hAnsiTheme="majorBidi" w:cstheme="majorBidi"/>
              <w:noProof/>
              <w:sz w:val="24"/>
              <w:szCs w:val="24"/>
            </w:rPr>
          </w:pPr>
          <w:r w:rsidRPr="00263CBE">
            <w:rPr>
              <w:rFonts w:asciiTheme="majorBidi" w:hAnsiTheme="majorBidi" w:cstheme="majorBidi"/>
              <w:sz w:val="24"/>
              <w:szCs w:val="24"/>
            </w:rPr>
            <w:fldChar w:fldCharType="begin"/>
          </w:r>
          <w:r w:rsidRPr="00263CBE">
            <w:rPr>
              <w:rFonts w:asciiTheme="majorBidi" w:hAnsiTheme="majorBidi" w:cstheme="majorBidi"/>
              <w:sz w:val="24"/>
              <w:szCs w:val="24"/>
            </w:rPr>
            <w:instrText xml:space="preserve"> TOC \o "1-3" \h \z \u </w:instrText>
          </w:r>
          <w:r w:rsidRPr="00263CBE">
            <w:rPr>
              <w:rFonts w:asciiTheme="majorBidi" w:hAnsiTheme="majorBidi" w:cstheme="majorBidi"/>
              <w:sz w:val="24"/>
              <w:szCs w:val="24"/>
            </w:rPr>
            <w:fldChar w:fldCharType="separate"/>
          </w:r>
          <w:hyperlink w:anchor="_Toc184841729" w:history="1">
            <w:r w:rsidR="00263CBE" w:rsidRPr="00263CBE">
              <w:rPr>
                <w:rStyle w:val="Hyperlink"/>
                <w:rFonts w:asciiTheme="majorBidi" w:eastAsia="Times New Roman" w:hAnsiTheme="majorBidi" w:cstheme="majorBidi"/>
                <w:b/>
                <w:noProof/>
                <w:sz w:val="24"/>
                <w:szCs w:val="24"/>
              </w:rPr>
              <w:t>Part 1</w:t>
            </w:r>
            <w:r w:rsidR="00263CBE" w:rsidRPr="00263CBE">
              <w:rPr>
                <w:rFonts w:asciiTheme="majorBidi" w:hAnsiTheme="majorBidi" w:cstheme="majorBidi"/>
                <w:noProof/>
                <w:webHidden/>
                <w:sz w:val="24"/>
                <w:szCs w:val="24"/>
              </w:rPr>
              <w:tab/>
            </w:r>
            <w:r w:rsidR="00263CBE" w:rsidRPr="00263CBE">
              <w:rPr>
                <w:rFonts w:asciiTheme="majorBidi" w:hAnsiTheme="majorBidi" w:cstheme="majorBidi"/>
                <w:noProof/>
                <w:webHidden/>
                <w:sz w:val="24"/>
                <w:szCs w:val="24"/>
              </w:rPr>
              <w:fldChar w:fldCharType="begin"/>
            </w:r>
            <w:r w:rsidR="00263CBE" w:rsidRPr="00263CBE">
              <w:rPr>
                <w:rFonts w:asciiTheme="majorBidi" w:hAnsiTheme="majorBidi" w:cstheme="majorBidi"/>
                <w:noProof/>
                <w:webHidden/>
                <w:sz w:val="24"/>
                <w:szCs w:val="24"/>
              </w:rPr>
              <w:instrText xml:space="preserve"> PAGEREF _Toc184841729 \h </w:instrText>
            </w:r>
            <w:r w:rsidR="00263CBE" w:rsidRPr="00263CBE">
              <w:rPr>
                <w:rFonts w:asciiTheme="majorBidi" w:hAnsiTheme="majorBidi" w:cstheme="majorBidi"/>
                <w:noProof/>
                <w:webHidden/>
                <w:sz w:val="24"/>
                <w:szCs w:val="24"/>
              </w:rPr>
            </w:r>
            <w:r w:rsidR="00263CBE" w:rsidRPr="00263CBE">
              <w:rPr>
                <w:rFonts w:asciiTheme="majorBidi" w:hAnsiTheme="majorBidi" w:cstheme="majorBidi"/>
                <w:noProof/>
                <w:webHidden/>
                <w:sz w:val="24"/>
                <w:szCs w:val="24"/>
              </w:rPr>
              <w:fldChar w:fldCharType="separate"/>
            </w:r>
            <w:r w:rsidR="00263CBE" w:rsidRPr="00263CBE">
              <w:rPr>
                <w:rFonts w:asciiTheme="majorBidi" w:hAnsiTheme="majorBidi" w:cstheme="majorBidi"/>
                <w:noProof/>
                <w:webHidden/>
                <w:sz w:val="24"/>
                <w:szCs w:val="24"/>
              </w:rPr>
              <w:t>4</w:t>
            </w:r>
            <w:r w:rsidR="00263CBE"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0" w:history="1">
            <w:r w:rsidRPr="00263CBE">
              <w:rPr>
                <w:rStyle w:val="Hyperlink"/>
                <w:rFonts w:asciiTheme="majorBidi" w:eastAsia="Times New Roman" w:hAnsiTheme="majorBidi" w:cstheme="majorBidi"/>
                <w:b/>
                <w:noProof/>
                <w:sz w:val="24"/>
                <w:szCs w:val="24"/>
              </w:rPr>
              <w:t>Introduction</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_Toc184841730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4</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1" w:history="1">
            <w:r w:rsidRPr="00263CBE">
              <w:rPr>
                <w:rStyle w:val="Hyperlink"/>
                <w:rFonts w:asciiTheme="majorBidi" w:hAnsiTheme="majorBidi" w:cstheme="majorBidi"/>
                <w:b/>
                <w:noProof/>
                <w:sz w:val="24"/>
                <w:szCs w:val="24"/>
              </w:rPr>
              <w:t>The Nature of the UK Legal System</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_Toc184841731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4</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2" w:history="1">
            <w:r w:rsidRPr="00263CBE">
              <w:rPr>
                <w:rStyle w:val="Hyperlink"/>
                <w:rFonts w:asciiTheme="majorBidi" w:hAnsiTheme="majorBidi" w:cstheme="majorBidi"/>
                <w:b/>
                <w:noProof/>
                <w:sz w:val="24"/>
                <w:szCs w:val="24"/>
              </w:rPr>
              <w:t>Key Legislations and Their Impact on Businesses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_Toc184841732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6</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3" w:history="1">
            <w:r w:rsidRPr="00263CBE">
              <w:rPr>
                <w:rStyle w:val="Hyperlink"/>
                <w:rFonts w:asciiTheme="majorBidi" w:hAnsiTheme="majorBidi" w:cstheme="majorBidi"/>
                <w:b/>
                <w:noProof/>
                <w:sz w:val="24"/>
                <w:szCs w:val="24"/>
              </w:rPr>
              <w:t>Critical Evaluation of the UK Legal System</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_Toc184841733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9</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4" w:history="1">
            <w:r w:rsidRPr="00263CBE">
              <w:rPr>
                <w:rStyle w:val="Hyperlink"/>
                <w:rFonts w:asciiTheme="majorBidi" w:hAnsiTheme="majorBidi" w:cstheme="majorBidi"/>
                <w:b/>
                <w:noProof/>
                <w:sz w:val="24"/>
                <w:szCs w:val="24"/>
              </w:rPr>
              <w:t>Recommendations for Start-Ups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_Toc184841734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10</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5" w:history="1">
            <w:r w:rsidRPr="00263CBE">
              <w:rPr>
                <w:rStyle w:val="Hyperlink"/>
                <w:rFonts w:asciiTheme="majorBidi" w:hAnsiTheme="majorBidi" w:cstheme="majorBidi"/>
                <w:b/>
                <w:noProof/>
                <w:sz w:val="24"/>
                <w:szCs w:val="24"/>
              </w:rPr>
              <w:t>Conclusion</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_Toc184841735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10</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6" w:history="1">
            <w:r w:rsidRPr="00263CBE">
              <w:rPr>
                <w:rStyle w:val="Hyperlink"/>
                <w:rFonts w:asciiTheme="majorBidi" w:hAnsiTheme="majorBidi" w:cstheme="majorBidi"/>
                <w:b/>
                <w:bCs/>
                <w:noProof/>
                <w:sz w:val="24"/>
                <w:szCs w:val="24"/>
              </w:rPr>
              <w:t>Part 2</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_Toc184841736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12</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7" w:history="1">
            <w:r w:rsidRPr="00263CBE">
              <w:rPr>
                <w:rStyle w:val="Hyperlink"/>
                <w:rFonts w:asciiTheme="majorBidi" w:hAnsiTheme="majorBidi" w:cstheme="majorBidi"/>
                <w:b/>
                <w:bCs/>
                <w:noProof/>
                <w:sz w:val="24"/>
                <w:szCs w:val="24"/>
              </w:rPr>
              <w:t>Introduction</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_Toc184841737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12</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38" w:history="1">
            <w:r w:rsidRPr="00263CBE">
              <w:rPr>
                <w:rStyle w:val="Hyperlink"/>
                <w:rFonts w:asciiTheme="majorBidi" w:eastAsia="Times New Roman" w:hAnsiTheme="majorBidi" w:cstheme="majorBidi"/>
                <w:b/>
                <w:bCs/>
                <w:noProof/>
                <w:sz w:val="24"/>
                <w:szCs w:val="24"/>
              </w:rPr>
              <w:t>Case Scenario 1: Gordon’s Employment Contract and Wage Dispute</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_Toc184841738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12</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39" w:history="1">
            <w:r w:rsidRPr="00263CBE">
              <w:rPr>
                <w:rStyle w:val="Hyperlink"/>
                <w:rFonts w:asciiTheme="majorBidi" w:eastAsia="Times New Roman" w:hAnsiTheme="majorBidi" w:cstheme="majorBidi"/>
                <w:noProof/>
                <w:sz w:val="24"/>
                <w:szCs w:val="24"/>
              </w:rPr>
              <w:t>Case Summary</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_Toc184841739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12</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0" w:history="1">
            <w:r w:rsidRPr="00263CBE">
              <w:rPr>
                <w:rStyle w:val="Hyperlink"/>
                <w:rFonts w:asciiTheme="majorBidi" w:eastAsia="Times New Roman" w:hAnsiTheme="majorBidi" w:cstheme="majorBidi"/>
                <w:noProof/>
                <w:sz w:val="24"/>
                <w:szCs w:val="24"/>
              </w:rPr>
              <w:t>Relevant Legal Concepts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_Toc184841740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12</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1" w:history="1">
            <w:r w:rsidRPr="00263CBE">
              <w:rPr>
                <w:rStyle w:val="Hyperlink"/>
                <w:rFonts w:asciiTheme="majorBidi" w:eastAsia="Times New Roman" w:hAnsiTheme="majorBidi" w:cstheme="majorBidi"/>
                <w:noProof/>
                <w:sz w:val="24"/>
                <w:szCs w:val="24"/>
              </w:rPr>
              <w:t>Legal Analysis and Solutions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_Toc184841741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13</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2" w:history="1">
            <w:r w:rsidRPr="00263CBE">
              <w:rPr>
                <w:rStyle w:val="Hyperlink"/>
                <w:rFonts w:asciiTheme="majorBidi" w:eastAsia="Times New Roman" w:hAnsiTheme="majorBidi" w:cstheme="majorBidi"/>
                <w:noProof/>
                <w:sz w:val="24"/>
                <w:szCs w:val="24"/>
              </w:rPr>
              <w:t>Recommendations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_Toc184841742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14</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43" w:history="1">
            <w:r w:rsidRPr="00263CBE">
              <w:rPr>
                <w:rStyle w:val="Hyperlink"/>
                <w:rFonts w:asciiTheme="majorBidi" w:eastAsia="Times New Roman" w:hAnsiTheme="majorBidi" w:cstheme="majorBidi"/>
                <w:b/>
                <w:bCs/>
                <w:noProof/>
                <w:sz w:val="24"/>
                <w:szCs w:val="24"/>
              </w:rPr>
              <w:t>Case Scenario 2: Janet’s Consumer Rights and Virgin Media Service Dispute</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_Toc184841743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14</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4" w:history="1">
            <w:r w:rsidRPr="00263CBE">
              <w:rPr>
                <w:rStyle w:val="Hyperlink"/>
                <w:rFonts w:asciiTheme="majorBidi" w:eastAsia="Times New Roman" w:hAnsiTheme="majorBidi" w:cstheme="majorBidi"/>
                <w:noProof/>
                <w:sz w:val="24"/>
                <w:szCs w:val="24"/>
              </w:rPr>
              <w:t>Case Summary</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_Toc184841744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14</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5" w:history="1">
            <w:r w:rsidRPr="00263CBE">
              <w:rPr>
                <w:rStyle w:val="Hyperlink"/>
                <w:rFonts w:asciiTheme="majorBidi" w:eastAsia="Times New Roman" w:hAnsiTheme="majorBidi" w:cstheme="majorBidi"/>
                <w:noProof/>
                <w:sz w:val="24"/>
                <w:szCs w:val="24"/>
              </w:rPr>
              <w:t>Relevant Legal Concepts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_Toc184841745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15</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6" w:history="1">
            <w:r w:rsidRPr="00263CBE">
              <w:rPr>
                <w:rStyle w:val="Hyperlink"/>
                <w:rFonts w:asciiTheme="majorBidi" w:eastAsia="Times New Roman" w:hAnsiTheme="majorBidi" w:cstheme="majorBidi"/>
                <w:noProof/>
                <w:sz w:val="24"/>
                <w:szCs w:val="24"/>
              </w:rPr>
              <w:t>Legal Analysis and Solutions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_Toc184841746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15</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7" w:history="1">
            <w:r w:rsidRPr="00263CBE">
              <w:rPr>
                <w:rStyle w:val="Hyperlink"/>
                <w:rFonts w:asciiTheme="majorBidi" w:eastAsia="Times New Roman" w:hAnsiTheme="majorBidi" w:cstheme="majorBidi"/>
                <w:noProof/>
                <w:sz w:val="24"/>
                <w:szCs w:val="24"/>
              </w:rPr>
              <w:t>Recommendations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_Toc184841747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16</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48" w:history="1">
            <w:r w:rsidRPr="00263CBE">
              <w:rPr>
                <w:rStyle w:val="Hyperlink"/>
                <w:rFonts w:asciiTheme="majorBidi" w:eastAsia="Times New Roman" w:hAnsiTheme="majorBidi" w:cstheme="majorBidi"/>
                <w:b/>
                <w:bCs/>
                <w:noProof/>
                <w:sz w:val="24"/>
                <w:szCs w:val="24"/>
              </w:rPr>
              <w:t>Case Scenario 3: Blackhorse Limited’s Financial Issues and Winding Up Petition</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_Toc184841748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17</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49" w:history="1">
            <w:r w:rsidRPr="00263CBE">
              <w:rPr>
                <w:rStyle w:val="Hyperlink"/>
                <w:rFonts w:asciiTheme="majorBidi" w:eastAsia="Times New Roman" w:hAnsiTheme="majorBidi" w:cstheme="majorBidi"/>
                <w:noProof/>
                <w:sz w:val="24"/>
                <w:szCs w:val="24"/>
              </w:rPr>
              <w:t>Case Summary</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_Toc184841749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17</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0" w:history="1">
            <w:r w:rsidRPr="00263CBE">
              <w:rPr>
                <w:rStyle w:val="Hyperlink"/>
                <w:rFonts w:asciiTheme="majorBidi" w:eastAsia="Times New Roman" w:hAnsiTheme="majorBidi" w:cstheme="majorBidi"/>
                <w:noProof/>
                <w:sz w:val="24"/>
                <w:szCs w:val="24"/>
              </w:rPr>
              <w:t>Relevant Legal Concepts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_Toc184841750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17</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1" w:history="1">
            <w:r w:rsidRPr="00263CBE">
              <w:rPr>
                <w:rStyle w:val="Hyperlink"/>
                <w:rFonts w:asciiTheme="majorBidi" w:eastAsia="Times New Roman" w:hAnsiTheme="majorBidi" w:cstheme="majorBidi"/>
                <w:noProof/>
                <w:sz w:val="24"/>
                <w:szCs w:val="24"/>
              </w:rPr>
              <w:t>Legal Analysis and Solutions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_Toc184841751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17</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2" w:history="1">
            <w:r w:rsidRPr="00263CBE">
              <w:rPr>
                <w:rStyle w:val="Hyperlink"/>
                <w:rFonts w:asciiTheme="majorBidi" w:eastAsia="Times New Roman" w:hAnsiTheme="majorBidi" w:cstheme="majorBidi"/>
                <w:noProof/>
                <w:sz w:val="24"/>
                <w:szCs w:val="24"/>
              </w:rPr>
              <w:t>Recommendations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_Toc184841752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19</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53" w:history="1">
            <w:r w:rsidRPr="00263CBE">
              <w:rPr>
                <w:rStyle w:val="Hyperlink"/>
                <w:rFonts w:asciiTheme="majorBidi" w:eastAsia="Times New Roman" w:hAnsiTheme="majorBidi" w:cstheme="majorBidi"/>
                <w:noProof/>
                <w:sz w:val="24"/>
                <w:szCs w:val="24"/>
              </w:rPr>
              <w:t>Comparative Analysis of Legal Solutions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_Toc184841753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19</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4" w:history="1">
            <w:r w:rsidRPr="00263CBE">
              <w:rPr>
                <w:rStyle w:val="Hyperlink"/>
                <w:rFonts w:asciiTheme="majorBidi" w:eastAsia="Times New Roman" w:hAnsiTheme="majorBidi" w:cstheme="majorBidi"/>
                <w:noProof/>
                <w:sz w:val="24"/>
                <w:szCs w:val="24"/>
              </w:rPr>
              <w:t>Effectiveness of Legal Solutions</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_Toc184841754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19</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5" w:history="1">
            <w:r w:rsidRPr="00263CBE">
              <w:rPr>
                <w:rStyle w:val="Hyperlink"/>
                <w:rFonts w:asciiTheme="majorBidi" w:eastAsia="Times New Roman" w:hAnsiTheme="majorBidi" w:cstheme="majorBidi"/>
                <w:noProof/>
                <w:sz w:val="24"/>
                <w:szCs w:val="24"/>
              </w:rPr>
              <w:t>Comparison with Alternative Legal Advice</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_Toc184841755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20</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2"/>
            <w:tabs>
              <w:tab w:val="right" w:leader="dot" w:pos="9350"/>
            </w:tabs>
            <w:spacing w:line="360" w:lineRule="auto"/>
            <w:jc w:val="both"/>
            <w:rPr>
              <w:rFonts w:asciiTheme="majorBidi" w:eastAsiaTheme="minorEastAsia" w:hAnsiTheme="majorBidi" w:cstheme="majorBidi"/>
              <w:noProof/>
              <w:sz w:val="24"/>
              <w:szCs w:val="24"/>
            </w:rPr>
          </w:pPr>
          <w:hyperlink w:anchor="_Toc184841756" w:history="1">
            <w:r w:rsidRPr="00263CBE">
              <w:rPr>
                <w:rStyle w:val="Hyperlink"/>
                <w:rFonts w:asciiTheme="majorBidi" w:eastAsia="Times New Roman" w:hAnsiTheme="majorBidi" w:cstheme="majorBidi"/>
                <w:noProof/>
                <w:sz w:val="24"/>
                <w:szCs w:val="24"/>
              </w:rPr>
              <w:t>Advantages and Disadvantages of Each Approach</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_Toc184841756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20</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57" w:history="1">
            <w:r w:rsidRPr="00263CBE">
              <w:rPr>
                <w:rStyle w:val="Hyperlink"/>
                <w:rFonts w:asciiTheme="majorBidi" w:eastAsia="Times New Roman" w:hAnsiTheme="majorBidi" w:cstheme="majorBidi"/>
                <w:b/>
                <w:bCs/>
                <w:noProof/>
                <w:sz w:val="24"/>
                <w:szCs w:val="24"/>
              </w:rPr>
              <w:t>Conclusion</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_Toc184841757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20</w:t>
            </w:r>
            <w:r w:rsidRPr="00263CBE">
              <w:rPr>
                <w:rFonts w:asciiTheme="majorBidi" w:hAnsiTheme="majorBidi" w:cstheme="majorBidi"/>
                <w:noProof/>
                <w:webHidden/>
                <w:sz w:val="24"/>
                <w:szCs w:val="24"/>
              </w:rPr>
              <w:fldChar w:fldCharType="end"/>
            </w:r>
          </w:hyperlink>
        </w:p>
        <w:p w:rsidR="00263CBE" w:rsidRPr="00263CBE" w:rsidRDefault="00263CBE" w:rsidP="00263CBE">
          <w:pPr>
            <w:pStyle w:val="TOC1"/>
            <w:tabs>
              <w:tab w:val="right" w:leader="dot" w:pos="9350"/>
            </w:tabs>
            <w:spacing w:line="360" w:lineRule="auto"/>
            <w:jc w:val="both"/>
            <w:rPr>
              <w:rFonts w:asciiTheme="majorBidi" w:eastAsiaTheme="minorEastAsia" w:hAnsiTheme="majorBidi" w:cstheme="majorBidi"/>
              <w:noProof/>
              <w:sz w:val="24"/>
              <w:szCs w:val="24"/>
            </w:rPr>
          </w:pPr>
          <w:hyperlink w:anchor="_Toc184841758" w:history="1">
            <w:r w:rsidRPr="00263CBE">
              <w:rPr>
                <w:rStyle w:val="Hyperlink"/>
                <w:rFonts w:asciiTheme="majorBidi" w:hAnsiTheme="majorBidi" w:cstheme="majorBidi"/>
                <w:noProof/>
                <w:sz w:val="24"/>
                <w:szCs w:val="24"/>
              </w:rPr>
              <w:t>Bibliography</w:t>
            </w:r>
            <w:r w:rsidRPr="00263CBE">
              <w:rPr>
                <w:rFonts w:asciiTheme="majorBidi" w:hAnsiTheme="majorBidi" w:cstheme="majorBidi"/>
                <w:noProof/>
                <w:webHidden/>
                <w:sz w:val="24"/>
                <w:szCs w:val="24"/>
              </w:rPr>
              <w:tab/>
            </w:r>
            <w:r w:rsidRPr="00263CBE">
              <w:rPr>
                <w:rFonts w:asciiTheme="majorBidi" w:hAnsiTheme="majorBidi" w:cstheme="majorBidi"/>
                <w:noProof/>
                <w:webHidden/>
                <w:sz w:val="24"/>
                <w:szCs w:val="24"/>
              </w:rPr>
              <w:fldChar w:fldCharType="begin"/>
            </w:r>
            <w:r w:rsidRPr="00263CBE">
              <w:rPr>
                <w:rFonts w:asciiTheme="majorBidi" w:hAnsiTheme="majorBidi" w:cstheme="majorBidi"/>
                <w:noProof/>
                <w:webHidden/>
                <w:sz w:val="24"/>
                <w:szCs w:val="24"/>
              </w:rPr>
              <w:instrText xml:space="preserve"> PAGEREF _Toc184841758 \h </w:instrText>
            </w:r>
            <w:r w:rsidRPr="00263CBE">
              <w:rPr>
                <w:rFonts w:asciiTheme="majorBidi" w:hAnsiTheme="majorBidi" w:cstheme="majorBidi"/>
                <w:noProof/>
                <w:webHidden/>
                <w:sz w:val="24"/>
                <w:szCs w:val="24"/>
              </w:rPr>
            </w:r>
            <w:r w:rsidRPr="00263CBE">
              <w:rPr>
                <w:rFonts w:asciiTheme="majorBidi" w:hAnsiTheme="majorBidi" w:cstheme="majorBidi"/>
                <w:noProof/>
                <w:webHidden/>
                <w:sz w:val="24"/>
                <w:szCs w:val="24"/>
              </w:rPr>
              <w:fldChar w:fldCharType="separate"/>
            </w:r>
            <w:r w:rsidRPr="00263CBE">
              <w:rPr>
                <w:rFonts w:asciiTheme="majorBidi" w:hAnsiTheme="majorBidi" w:cstheme="majorBidi"/>
                <w:noProof/>
                <w:webHidden/>
                <w:sz w:val="24"/>
                <w:szCs w:val="24"/>
              </w:rPr>
              <w:t>22</w:t>
            </w:r>
            <w:r w:rsidRPr="00263CBE">
              <w:rPr>
                <w:rFonts w:asciiTheme="majorBidi" w:hAnsiTheme="majorBidi" w:cstheme="majorBidi"/>
                <w:noProof/>
                <w:webHidden/>
                <w:sz w:val="24"/>
                <w:szCs w:val="24"/>
              </w:rPr>
              <w:fldChar w:fldCharType="end"/>
            </w:r>
          </w:hyperlink>
        </w:p>
        <w:p w:rsidR="005624C4" w:rsidRPr="00263CBE" w:rsidRDefault="005624C4" w:rsidP="00263CBE">
          <w:pPr>
            <w:spacing w:line="360" w:lineRule="auto"/>
            <w:jc w:val="both"/>
            <w:rPr>
              <w:rFonts w:asciiTheme="majorBidi" w:hAnsiTheme="majorBidi" w:cstheme="majorBidi"/>
              <w:sz w:val="24"/>
              <w:szCs w:val="24"/>
            </w:rPr>
          </w:pPr>
          <w:r w:rsidRPr="00263CBE">
            <w:rPr>
              <w:rFonts w:asciiTheme="majorBidi" w:hAnsiTheme="majorBidi" w:cstheme="majorBidi"/>
              <w:bCs/>
              <w:noProof/>
              <w:sz w:val="24"/>
              <w:szCs w:val="24"/>
            </w:rPr>
            <w:fldChar w:fldCharType="end"/>
          </w:r>
        </w:p>
      </w:sdtContent>
    </w:sdt>
    <w:p w:rsidR="005624C4" w:rsidRPr="005624C4" w:rsidRDefault="005624C4" w:rsidP="005624C4">
      <w:pPr>
        <w:pStyle w:val="Heading1"/>
        <w:spacing w:line="360" w:lineRule="auto"/>
        <w:rPr>
          <w:rFonts w:ascii="Times New Roman" w:eastAsia="Times New Roman" w:hAnsi="Times New Roman" w:cs="Times New Roman"/>
          <w:b/>
          <w:sz w:val="24"/>
          <w:szCs w:val="24"/>
        </w:rPr>
      </w:pPr>
    </w:p>
    <w:p w:rsidR="005624C4" w:rsidRPr="005624C4" w:rsidRDefault="005624C4" w:rsidP="005624C4"/>
    <w:p w:rsidR="005624C4" w:rsidRPr="005624C4" w:rsidRDefault="005624C4" w:rsidP="005624C4">
      <w:r w:rsidRPr="005624C4">
        <w:br w:type="page"/>
      </w:r>
    </w:p>
    <w:p w:rsidR="009600AD" w:rsidRPr="009600AD" w:rsidRDefault="009600AD" w:rsidP="009600AD">
      <w:pPr>
        <w:pStyle w:val="Heading1"/>
        <w:spacing w:line="360" w:lineRule="auto"/>
        <w:jc w:val="center"/>
        <w:rPr>
          <w:rFonts w:ascii="Times New Roman" w:eastAsia="Times New Roman" w:hAnsi="Times New Roman" w:cs="Times New Roman"/>
          <w:b/>
          <w:color w:val="auto"/>
          <w:sz w:val="24"/>
          <w:szCs w:val="24"/>
        </w:rPr>
      </w:pPr>
      <w:bookmarkStart w:id="1" w:name="_Toc184841729"/>
      <w:r w:rsidRPr="009600AD">
        <w:rPr>
          <w:rFonts w:ascii="Times New Roman" w:eastAsia="Times New Roman" w:hAnsi="Times New Roman" w:cs="Times New Roman"/>
          <w:b/>
          <w:color w:val="auto"/>
          <w:sz w:val="24"/>
          <w:szCs w:val="24"/>
        </w:rPr>
        <w:lastRenderedPageBreak/>
        <w:t>Part 1</w:t>
      </w:r>
      <w:bookmarkEnd w:id="1"/>
    </w:p>
    <w:p w:rsidR="00D53069" w:rsidRPr="00AC1246" w:rsidRDefault="002426B5" w:rsidP="005624C4">
      <w:pPr>
        <w:pStyle w:val="Heading1"/>
        <w:spacing w:line="360" w:lineRule="auto"/>
        <w:rPr>
          <w:rFonts w:ascii="Times New Roman" w:eastAsia="Times New Roman" w:hAnsi="Times New Roman" w:cs="Times New Roman"/>
          <w:b/>
          <w:color w:val="auto"/>
          <w:sz w:val="24"/>
          <w:szCs w:val="24"/>
        </w:rPr>
      </w:pPr>
      <w:bookmarkStart w:id="2" w:name="_Toc184841730"/>
      <w:r w:rsidRPr="00AC1246">
        <w:rPr>
          <w:rFonts w:ascii="Times New Roman" w:eastAsia="Times New Roman" w:hAnsi="Times New Roman" w:cs="Times New Roman"/>
          <w:b/>
          <w:color w:val="auto"/>
          <w:sz w:val="24"/>
          <w:szCs w:val="24"/>
        </w:rPr>
        <w:t>Introduction</w:t>
      </w:r>
      <w:bookmarkEnd w:id="2"/>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UK legal system is one of the most established and influential in the world, with a legal framework based on common law, statutory law, and equity</w:t>
      </w:r>
      <w:r w:rsidR="00894B28" w:rsidRPr="00AC1246">
        <w:rPr>
          <w:rFonts w:ascii="Times New Roman" w:hAnsi="Times New Roman" w:cs="Times New Roman"/>
          <w:sz w:val="24"/>
          <w:szCs w:val="24"/>
        </w:rPr>
        <w:t xml:space="preserve"> </w:t>
      </w:r>
      <w:sdt>
        <w:sdtPr>
          <w:rPr>
            <w:rFonts w:ascii="Times New Roman" w:hAnsi="Times New Roman" w:cs="Times New Roman"/>
            <w:sz w:val="24"/>
            <w:szCs w:val="24"/>
          </w:rPr>
          <w:id w:val="1710914595"/>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DeC24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(Cruz, 2024)</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With a well-defined structure of various courts and divisions, the UK legal system aims to guarantee that justice and fairness are well observed when handling cases of legal disputes. Understanding the system by a business venture is not merely an academic exercise but a strategic imperative. It lays the foundation for understanding the various complexities and making informed decisions while adhering to the set legislative requirements</w:t>
      </w:r>
      <w:r w:rsidR="00894B28" w:rsidRPr="00AC1246">
        <w:rPr>
          <w:rFonts w:ascii="Times New Roman" w:hAnsi="Times New Roman" w:cs="Times New Roman"/>
          <w:sz w:val="24"/>
          <w:szCs w:val="24"/>
        </w:rPr>
        <w:t xml:space="preserve"> </w:t>
      </w:r>
      <w:sdt>
        <w:sdtPr>
          <w:rPr>
            <w:rFonts w:ascii="Times New Roman" w:hAnsi="Times New Roman" w:cs="Times New Roman"/>
            <w:sz w:val="24"/>
            <w:szCs w:val="24"/>
          </w:rPr>
          <w:id w:val="2069535293"/>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All23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(Allioui, 2023)</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 xml:space="preserve">This essay is customised for a new startup company that wants complete insight into the United Kingdom's legal system and the important legislation affecting business operations and decisions. A startup with limited resources and expertise must be more aware of company law, employment law, and data protection to reduce risks and stimulate further growth. This essay has outlined the structure of the UK legal system, focusing on its courts, various divisions, and the role taken in making the law by government machinery. </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 xml:space="preserve">The essay further looks at critical legislations affecting businesses, including the formation and governance of companies under the Companies Act 2006, essentials of contracts, employment obligations, and consumer protection. It also assesses the impact of tort law and competition regulations on business practice. Therefore, </w:t>
      </w:r>
      <w:proofErr w:type="gramStart"/>
      <w:r w:rsidRPr="00AC1246">
        <w:rPr>
          <w:rFonts w:ascii="Times New Roman" w:hAnsi="Times New Roman" w:cs="Times New Roman"/>
          <w:sz w:val="24"/>
          <w:szCs w:val="24"/>
        </w:rPr>
        <w:t>The</w:t>
      </w:r>
      <w:proofErr w:type="gramEnd"/>
      <w:r w:rsidRPr="00AC1246">
        <w:rPr>
          <w:rFonts w:ascii="Times New Roman" w:hAnsi="Times New Roman" w:cs="Times New Roman"/>
          <w:sz w:val="24"/>
          <w:szCs w:val="24"/>
        </w:rPr>
        <w:t xml:space="preserve"> following essay will present current legal reforms and use practical examples to allow the startup insight into how it navigates the UK's legal ecosystem effectively to comply with current legislation while enabling business and strategic decision-making.</w:t>
      </w:r>
    </w:p>
    <w:p w:rsidR="00F50C43" w:rsidRPr="00AC1246" w:rsidRDefault="002426B5" w:rsidP="005624C4">
      <w:pPr>
        <w:pStyle w:val="Heading1"/>
        <w:spacing w:line="360" w:lineRule="auto"/>
        <w:rPr>
          <w:rFonts w:ascii="Times New Roman" w:hAnsi="Times New Roman" w:cs="Times New Roman"/>
          <w:b/>
          <w:color w:val="auto"/>
          <w:sz w:val="24"/>
          <w:szCs w:val="24"/>
        </w:rPr>
      </w:pPr>
      <w:bookmarkStart w:id="3" w:name="_Toc184841731"/>
      <w:r w:rsidRPr="00AC1246">
        <w:rPr>
          <w:rFonts w:ascii="Times New Roman" w:hAnsi="Times New Roman" w:cs="Times New Roman"/>
          <w:b/>
          <w:color w:val="auto"/>
          <w:sz w:val="24"/>
          <w:szCs w:val="24"/>
        </w:rPr>
        <w:t>The Nature of the UK Legal System</w:t>
      </w:r>
      <w:bookmarkEnd w:id="3"/>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UK legal system is one of the oldest and most influential in the world, providing a forum for adjudicating legal disputes and conducting business</w:t>
      </w:r>
      <w:r w:rsidR="00894B28" w:rsidRPr="00AC1246">
        <w:rPr>
          <w:rFonts w:ascii="Times New Roman" w:hAnsi="Times New Roman" w:cs="Times New Roman"/>
          <w:sz w:val="24"/>
          <w:szCs w:val="24"/>
        </w:rPr>
        <w:t xml:space="preserve"> </w:t>
      </w:r>
      <w:sdt>
        <w:sdtPr>
          <w:rPr>
            <w:rFonts w:ascii="Times New Roman" w:hAnsi="Times New Roman" w:cs="Times New Roman"/>
            <w:sz w:val="24"/>
            <w:szCs w:val="24"/>
          </w:rPr>
          <w:id w:val="-611287582"/>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Egb24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(Egbunike-Umegbolu, 2024)</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The standard law system is based on judicial decisions and precedents. These precedents form a dynamic body of law, often changing over time. The judiciary in the UK consists of several levels of courts: the Supreme Court, Court of Appeal, High Court, Magistrates' Courts, and County Courts, each serving specific functions. </w:t>
      </w:r>
      <w:sdt>
        <w:sdtPr>
          <w:rPr>
            <w:rFonts w:ascii="Times New Roman" w:hAnsi="Times New Roman" w:cs="Times New Roman"/>
            <w:sz w:val="24"/>
            <w:szCs w:val="24"/>
          </w:rPr>
          <w:id w:val="869728671"/>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Gri20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(Griffin, 2020)</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It subsequently descends from the Court of Appeal, </w:t>
      </w:r>
      <w:r w:rsidRPr="00AC1246">
        <w:rPr>
          <w:rFonts w:ascii="Times New Roman" w:hAnsi="Times New Roman" w:cs="Times New Roman"/>
          <w:sz w:val="24"/>
          <w:szCs w:val="24"/>
        </w:rPr>
        <w:lastRenderedPageBreak/>
        <w:t>whose job is to hear appeals assigned by lower courts; the High Court, which is set up for dealing with complex litigious civil disputes; and county courts, which handle civil disagreements typically. Criminal cases from the least severe Magistrates' Courts typically go upwards to its proceedings. These courts collectively provide a structure for the judiciary to ensure that justice is administered to different levels and types of criminal and civil cases.</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difference between criminal and civil law is essential in the legal system. Criminal law involves offences against the state or public order, such as theft or assault. A defendant is incarcerated, fined, or ordered to perform community service if convicted through a criminal trial. Civil law refers to the rules that define noncriminal relationships among individuals, businesses, and government and includes contracts, property, and torts</w:t>
      </w:r>
      <w:r w:rsidR="00894B28" w:rsidRPr="00AC1246">
        <w:rPr>
          <w:rFonts w:ascii="Times New Roman" w:hAnsi="Times New Roman" w:cs="Times New Roman"/>
          <w:sz w:val="24"/>
          <w:szCs w:val="24"/>
        </w:rPr>
        <w:t xml:space="preserve"> </w:t>
      </w:r>
      <w:sdt>
        <w:sdtPr>
          <w:rPr>
            <w:rFonts w:ascii="Times New Roman" w:hAnsi="Times New Roman" w:cs="Times New Roman"/>
            <w:sz w:val="24"/>
            <w:szCs w:val="24"/>
          </w:rPr>
          <w:id w:val="-1041359971"/>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Gei20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(Geistfeld, 2020)</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Here, civil cases are tried to reach a decision and damages for the injured party, not necessarily to punish the defendant. This differentiation in practice between the two branches of law is quite important to businesses since they will encounter contractual disputes in civil law and regulatory violations in criminal law.</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 xml:space="preserve">Sources of UK law are varied; statutory, standard, and international law remain the most prominent. Statutory law refers to the laws made by Parliament through Acts of Parliament. These are laws that have the authority to override common law. It deals with issues ranging from business regulations to criminal </w:t>
      </w:r>
      <w:r w:rsidR="00894B28" w:rsidRPr="00AC1246">
        <w:rPr>
          <w:rFonts w:ascii="Times New Roman" w:hAnsi="Times New Roman" w:cs="Times New Roman"/>
          <w:sz w:val="24"/>
          <w:szCs w:val="24"/>
        </w:rPr>
        <w:t xml:space="preserve">behavior </w:t>
      </w:r>
      <w:sdt>
        <w:sdtPr>
          <w:rPr>
            <w:rFonts w:ascii="Times New Roman" w:hAnsi="Times New Roman" w:cs="Times New Roman"/>
            <w:sz w:val="24"/>
            <w:szCs w:val="24"/>
          </w:rPr>
          <w:id w:val="-897208211"/>
          <w:citation/>
        </w:sdtPr>
        <w:sdtEndPr/>
        <w:sdtContent>
          <w:r w:rsidR="00894B28" w:rsidRPr="00AC1246">
            <w:rPr>
              <w:rFonts w:ascii="Times New Roman" w:hAnsi="Times New Roman" w:cs="Times New Roman"/>
              <w:sz w:val="24"/>
              <w:szCs w:val="24"/>
            </w:rPr>
            <w:fldChar w:fldCharType="begin"/>
          </w:r>
          <w:r w:rsidR="00894B28" w:rsidRPr="00AC1246">
            <w:rPr>
              <w:rFonts w:ascii="Times New Roman" w:hAnsi="Times New Roman" w:cs="Times New Roman"/>
              <w:sz w:val="24"/>
              <w:szCs w:val="24"/>
            </w:rPr>
            <w:instrText xml:space="preserve"> CITATION Lei21 \l 1033 </w:instrText>
          </w:r>
          <w:r w:rsidR="00894B28" w:rsidRPr="00AC1246">
            <w:rPr>
              <w:rFonts w:ascii="Times New Roman" w:hAnsi="Times New Roman" w:cs="Times New Roman"/>
              <w:sz w:val="24"/>
              <w:szCs w:val="24"/>
            </w:rPr>
            <w:fldChar w:fldCharType="separate"/>
          </w:r>
          <w:r w:rsidR="00894B28" w:rsidRPr="00AC1246">
            <w:rPr>
              <w:rFonts w:ascii="Times New Roman" w:hAnsi="Times New Roman" w:cs="Times New Roman"/>
              <w:noProof/>
              <w:sz w:val="24"/>
              <w:szCs w:val="24"/>
            </w:rPr>
            <w:t>(Leider, 2021)</w:t>
          </w:r>
          <w:r w:rsidR="00894B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Another type of statutory law is delegated legislation, whereby Parliament grants authority to government ministers to make laws on specific areas. This establishes rules that impact businesses with incredible speed and flexibility. Common law, also called case law, originates from decisions made by the courts and precedents. The courts take the principles laid down in earlier cases and apply them to new disputes, achieving consistency and predictability in the legal system.</w:t>
      </w:r>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Precedents play an essential role in shaping the legal landscape, particularly those areas of contract and tort law, which have, over time, relied heavily on earlier judgments to set the pace for judgments in the future</w:t>
      </w:r>
      <w:r w:rsidR="00562DA3" w:rsidRPr="00AC1246">
        <w:rPr>
          <w:rFonts w:ascii="Times New Roman" w:hAnsi="Times New Roman" w:cs="Times New Roman"/>
          <w:sz w:val="24"/>
          <w:szCs w:val="24"/>
        </w:rPr>
        <w:t xml:space="preserve"> </w:t>
      </w:r>
      <w:sdt>
        <w:sdtPr>
          <w:rPr>
            <w:rFonts w:ascii="Times New Roman" w:hAnsi="Times New Roman" w:cs="Times New Roman"/>
            <w:sz w:val="24"/>
            <w:szCs w:val="24"/>
          </w:rPr>
          <w:id w:val="2014340376"/>
          <w:citation/>
        </w:sdtPr>
        <w:sdtEndPr/>
        <w:sdtContent>
          <w:r w:rsidR="00562DA3" w:rsidRPr="00AC1246">
            <w:rPr>
              <w:rFonts w:ascii="Times New Roman" w:hAnsi="Times New Roman" w:cs="Times New Roman"/>
              <w:sz w:val="24"/>
              <w:szCs w:val="24"/>
            </w:rPr>
            <w:fldChar w:fldCharType="begin"/>
          </w:r>
          <w:r w:rsidR="00562DA3" w:rsidRPr="00AC1246">
            <w:rPr>
              <w:rFonts w:ascii="Times New Roman" w:hAnsi="Times New Roman" w:cs="Times New Roman"/>
              <w:sz w:val="24"/>
              <w:szCs w:val="24"/>
            </w:rPr>
            <w:instrText xml:space="preserve"> CITATION Gil24 \l 1033 </w:instrText>
          </w:r>
          <w:r w:rsidR="00562DA3" w:rsidRPr="00AC1246">
            <w:rPr>
              <w:rFonts w:ascii="Times New Roman" w:hAnsi="Times New Roman" w:cs="Times New Roman"/>
              <w:sz w:val="24"/>
              <w:szCs w:val="24"/>
            </w:rPr>
            <w:fldChar w:fldCharType="separate"/>
          </w:r>
          <w:r w:rsidR="00562DA3" w:rsidRPr="00AC1246">
            <w:rPr>
              <w:rFonts w:ascii="Times New Roman" w:hAnsi="Times New Roman" w:cs="Times New Roman"/>
              <w:noProof/>
              <w:sz w:val="24"/>
              <w:szCs w:val="24"/>
            </w:rPr>
            <w:t>(Gilson, 2024)</w:t>
          </w:r>
          <w:r w:rsidR="00562DA3"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The relationship of the UK legal system with that of EU law has dramatically altered since Brexit. What were once directly applicable laws applied in the UK through retained EU law? That means many EU regulations and directives are still in force, but they are now open to modification by lawmakers in the UK. The decisions of the EU institutions no longer bind the UK. However, some areas of business law remain harmonised </w:t>
      </w:r>
      <w:r w:rsidRPr="00AC1246">
        <w:rPr>
          <w:rFonts w:ascii="Times New Roman" w:hAnsi="Times New Roman" w:cs="Times New Roman"/>
          <w:sz w:val="24"/>
          <w:szCs w:val="24"/>
        </w:rPr>
        <w:lastRenderedPageBreak/>
        <w:t>with EU norms, including competition law, consumer protection, and environmental law. In this post-Brexit era, businesses must consider the shifting contours of UK law in its relationship with European Union law and how their eventual divergence impacts further legal developments</w:t>
      </w:r>
      <w:r w:rsidR="00562DA3" w:rsidRPr="00AC1246">
        <w:rPr>
          <w:rFonts w:ascii="Times New Roman" w:hAnsi="Times New Roman" w:cs="Times New Roman"/>
          <w:sz w:val="24"/>
          <w:szCs w:val="24"/>
        </w:rPr>
        <w:t xml:space="preserve"> </w:t>
      </w:r>
      <w:sdt>
        <w:sdtPr>
          <w:rPr>
            <w:rFonts w:ascii="Times New Roman" w:hAnsi="Times New Roman" w:cs="Times New Roman"/>
            <w:sz w:val="24"/>
            <w:szCs w:val="24"/>
          </w:rPr>
          <w:id w:val="-539826816"/>
          <w:citation/>
        </w:sdtPr>
        <w:sdtEndPr/>
        <w:sdtContent>
          <w:r w:rsidR="00562DA3" w:rsidRPr="00AC1246">
            <w:rPr>
              <w:rFonts w:ascii="Times New Roman" w:hAnsi="Times New Roman" w:cs="Times New Roman"/>
              <w:sz w:val="24"/>
              <w:szCs w:val="24"/>
            </w:rPr>
            <w:fldChar w:fldCharType="begin"/>
          </w:r>
          <w:r w:rsidR="00562DA3" w:rsidRPr="00AC1246">
            <w:rPr>
              <w:rFonts w:ascii="Times New Roman" w:hAnsi="Times New Roman" w:cs="Times New Roman"/>
              <w:sz w:val="24"/>
              <w:szCs w:val="24"/>
            </w:rPr>
            <w:instrText xml:space="preserve"> CITATION Que20 \l 1033 </w:instrText>
          </w:r>
          <w:r w:rsidR="00562DA3" w:rsidRPr="00AC1246">
            <w:rPr>
              <w:rFonts w:ascii="Times New Roman" w:hAnsi="Times New Roman" w:cs="Times New Roman"/>
              <w:sz w:val="24"/>
              <w:szCs w:val="24"/>
            </w:rPr>
            <w:fldChar w:fldCharType="separate"/>
          </w:r>
          <w:r w:rsidR="00562DA3" w:rsidRPr="00AC1246">
            <w:rPr>
              <w:rFonts w:ascii="Times New Roman" w:hAnsi="Times New Roman" w:cs="Times New Roman"/>
              <w:noProof/>
              <w:sz w:val="24"/>
              <w:szCs w:val="24"/>
            </w:rPr>
            <w:t>(January, 2020)</w:t>
          </w:r>
          <w:r w:rsidR="00562DA3"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International trade or human rights treaties, too, affect UK law, and businesses must apply international standards when carrying out operations.</w:t>
      </w:r>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government plays a key role in the UK legal system regarding making laws. Any Minister or, in exceptional circumstances, Members introduce a bill in either House. A Bill goes through several readings and debate stages at the beginning of its life before being voted by the Houses of Parliament. Once a bill has gone through the agreed versions from both Houses of Parliament, it gets sent for the Royal Assent. Hence, it gets an Act of the Parliament title. The process ensures that laws are only passed with proper scrutiny and debate</w:t>
      </w:r>
      <w:r w:rsidR="00562DA3" w:rsidRPr="00AC1246">
        <w:rPr>
          <w:rFonts w:ascii="Times New Roman" w:hAnsi="Times New Roman" w:cs="Times New Roman"/>
          <w:sz w:val="24"/>
          <w:szCs w:val="24"/>
        </w:rPr>
        <w:t xml:space="preserve"> </w:t>
      </w:r>
      <w:sdt>
        <w:sdtPr>
          <w:rPr>
            <w:rFonts w:ascii="Times New Roman" w:hAnsi="Times New Roman" w:cs="Times New Roman"/>
            <w:sz w:val="24"/>
            <w:szCs w:val="24"/>
          </w:rPr>
          <w:id w:val="462929791"/>
          <w:citation/>
        </w:sdtPr>
        <w:sdtEndPr/>
        <w:sdtContent>
          <w:r w:rsidR="00562DA3" w:rsidRPr="00AC1246">
            <w:rPr>
              <w:rFonts w:ascii="Times New Roman" w:hAnsi="Times New Roman" w:cs="Times New Roman"/>
              <w:sz w:val="24"/>
              <w:szCs w:val="24"/>
            </w:rPr>
            <w:fldChar w:fldCharType="begin"/>
          </w:r>
          <w:r w:rsidR="00562DA3" w:rsidRPr="00AC1246">
            <w:rPr>
              <w:rFonts w:ascii="Times New Roman" w:hAnsi="Times New Roman" w:cs="Times New Roman"/>
              <w:sz w:val="24"/>
              <w:szCs w:val="24"/>
            </w:rPr>
            <w:instrText xml:space="preserve"> CITATION Wha24 \l 1033 </w:instrText>
          </w:r>
          <w:r w:rsidR="00562DA3" w:rsidRPr="00AC1246">
            <w:rPr>
              <w:rFonts w:ascii="Times New Roman" w:hAnsi="Times New Roman" w:cs="Times New Roman"/>
              <w:sz w:val="24"/>
              <w:szCs w:val="24"/>
            </w:rPr>
            <w:fldChar w:fldCharType="separate"/>
          </w:r>
          <w:r w:rsidR="00562DA3" w:rsidRPr="00AC1246">
            <w:rPr>
              <w:rFonts w:ascii="Times New Roman" w:hAnsi="Times New Roman" w:cs="Times New Roman"/>
              <w:noProof/>
              <w:sz w:val="24"/>
              <w:szCs w:val="24"/>
            </w:rPr>
            <w:t>([online], (2024). )</w:t>
          </w:r>
          <w:r w:rsidR="00562DA3"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The government further gives life to these laws through the machinery of regulatory bodies. Some key regulatory bodies for businesses include the FCA and the CMA, which ensure that businesses fully comply with business laws on financial services and fair competition.</w:t>
      </w:r>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All these bodies have powers to scrutinise companies, apply or enforce regulations and prescribe penalties for non-compliance in court. Other aspects of the role of government in courts include statutory interpretation, which judges use to interpret and apply legislation in particular cases. Interpretation of statutes can have a significant consequence on business operations, more so in complex laws that take judicial explanation. In the UK, the legal system has undergone numerous reforms and developments in recent years, most notably in the integration of technology and recent changes following Brexit</w:t>
      </w:r>
      <w:r w:rsidR="00562DA3" w:rsidRPr="00AC1246">
        <w:rPr>
          <w:rFonts w:ascii="Times New Roman" w:hAnsi="Times New Roman" w:cs="Times New Roman"/>
          <w:sz w:val="24"/>
          <w:szCs w:val="24"/>
        </w:rPr>
        <w:t xml:space="preserve"> </w:t>
      </w:r>
      <w:sdt>
        <w:sdtPr>
          <w:rPr>
            <w:rFonts w:ascii="Times New Roman" w:hAnsi="Times New Roman" w:cs="Times New Roman"/>
            <w:sz w:val="24"/>
            <w:szCs w:val="24"/>
          </w:rPr>
          <w:id w:val="1267582326"/>
          <w:citation/>
        </w:sdtPr>
        <w:sdtEndPr/>
        <w:sdtContent>
          <w:r w:rsidR="00562DA3" w:rsidRPr="00AC1246">
            <w:rPr>
              <w:rFonts w:ascii="Times New Roman" w:hAnsi="Times New Roman" w:cs="Times New Roman"/>
              <w:sz w:val="24"/>
              <w:szCs w:val="24"/>
            </w:rPr>
            <w:fldChar w:fldCharType="begin"/>
          </w:r>
          <w:r w:rsidR="00562DA3" w:rsidRPr="00AC1246">
            <w:rPr>
              <w:rFonts w:ascii="Times New Roman" w:hAnsi="Times New Roman" w:cs="Times New Roman"/>
              <w:sz w:val="24"/>
              <w:szCs w:val="24"/>
            </w:rPr>
            <w:instrText xml:space="preserve"> CITATION Bal22 \l 1033 </w:instrText>
          </w:r>
          <w:r w:rsidR="00562DA3" w:rsidRPr="00AC1246">
            <w:rPr>
              <w:rFonts w:ascii="Times New Roman" w:hAnsi="Times New Roman" w:cs="Times New Roman"/>
              <w:sz w:val="24"/>
              <w:szCs w:val="24"/>
            </w:rPr>
            <w:fldChar w:fldCharType="separate"/>
          </w:r>
          <w:r w:rsidR="00562DA3" w:rsidRPr="00AC1246">
            <w:rPr>
              <w:rFonts w:ascii="Times New Roman" w:hAnsi="Times New Roman" w:cs="Times New Roman"/>
              <w:noProof/>
              <w:sz w:val="24"/>
              <w:szCs w:val="24"/>
            </w:rPr>
            <w:t>(Baldini, et al., 2022)</w:t>
          </w:r>
          <w:r w:rsidR="00562DA3"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Where online court facilities have been established, procedures have streamlined how particular types of cases are dealt with, making it much easier to do business when issues need resolution without lengthy court appearances-particularly civil disputes.</w:t>
      </w:r>
    </w:p>
    <w:p w:rsidR="00D53069" w:rsidRPr="00AC1246" w:rsidRDefault="002426B5" w:rsidP="005624C4">
      <w:pPr>
        <w:pStyle w:val="Heading1"/>
        <w:spacing w:line="360" w:lineRule="auto"/>
        <w:rPr>
          <w:rFonts w:ascii="Times New Roman" w:hAnsi="Times New Roman" w:cs="Times New Roman"/>
          <w:b/>
          <w:color w:val="auto"/>
          <w:sz w:val="24"/>
          <w:szCs w:val="24"/>
        </w:rPr>
      </w:pPr>
      <w:bookmarkStart w:id="4" w:name="_Toc184841732"/>
      <w:r w:rsidRPr="00AC1246">
        <w:rPr>
          <w:rFonts w:ascii="Times New Roman" w:hAnsi="Times New Roman" w:cs="Times New Roman"/>
          <w:b/>
          <w:color w:val="auto"/>
          <w:sz w:val="24"/>
          <w:szCs w:val="24"/>
        </w:rPr>
        <w:t>Key Legislations and Their Impact on Businesses</w:t>
      </w:r>
      <w:bookmarkEnd w:id="4"/>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integration of artificial intelligence in their legal practices is another development that will shape the future of the UK's legal system. In this case, AI supports the work of lawyers in document reviewing, research issues, and contract analysis efficiently and at a reduced cost. The legal environment within which UK business operates forms an important factor as several legislations are developing operating aspects, governance, and those relevant to stakeholders</w:t>
      </w:r>
      <w:r w:rsidR="00562DA3" w:rsidRPr="00AC1246">
        <w:rPr>
          <w:rFonts w:ascii="Times New Roman" w:hAnsi="Times New Roman" w:cs="Times New Roman"/>
          <w:sz w:val="24"/>
          <w:szCs w:val="24"/>
        </w:rPr>
        <w:t xml:space="preserve"> </w:t>
      </w:r>
      <w:sdt>
        <w:sdtPr>
          <w:rPr>
            <w:rFonts w:ascii="Times New Roman" w:hAnsi="Times New Roman" w:cs="Times New Roman"/>
            <w:sz w:val="24"/>
            <w:szCs w:val="24"/>
          </w:rPr>
          <w:id w:val="-1815020984"/>
          <w:citation/>
        </w:sdtPr>
        <w:sdtEndPr/>
        <w:sdtContent>
          <w:r w:rsidR="00562DA3" w:rsidRPr="00AC1246">
            <w:rPr>
              <w:rFonts w:ascii="Times New Roman" w:hAnsi="Times New Roman" w:cs="Times New Roman"/>
              <w:sz w:val="24"/>
              <w:szCs w:val="24"/>
            </w:rPr>
            <w:fldChar w:fldCharType="begin"/>
          </w:r>
          <w:r w:rsidR="00562DA3" w:rsidRPr="00AC1246">
            <w:rPr>
              <w:rFonts w:ascii="Times New Roman" w:hAnsi="Times New Roman" w:cs="Times New Roman"/>
              <w:sz w:val="24"/>
              <w:szCs w:val="24"/>
            </w:rPr>
            <w:instrText xml:space="preserve"> CITATION Wir24 \l 1033 </w:instrText>
          </w:r>
          <w:r w:rsidR="00562DA3" w:rsidRPr="00AC1246">
            <w:rPr>
              <w:rFonts w:ascii="Times New Roman" w:hAnsi="Times New Roman" w:cs="Times New Roman"/>
              <w:sz w:val="24"/>
              <w:szCs w:val="24"/>
            </w:rPr>
            <w:fldChar w:fldCharType="separate"/>
          </w:r>
          <w:r w:rsidR="00562DA3" w:rsidRPr="00AC1246">
            <w:rPr>
              <w:rFonts w:ascii="Times New Roman" w:hAnsi="Times New Roman" w:cs="Times New Roman"/>
              <w:noProof/>
              <w:sz w:val="24"/>
              <w:szCs w:val="24"/>
            </w:rPr>
            <w:t>(Wirba, 2024)</w:t>
          </w:r>
          <w:r w:rsidR="00562DA3"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In this respect, understanding the significant areas, such as company law, the law of contract, employment, and tort, together with the data protection and competition rules, is important for the flourishing of the business venture under the game's rules. This essay, therefore, discusses some of the important law areas that are fundamental in understanding its effects on businesses. UK company law's linchpin is the Companies Act 2006, guiding the benchmark of relationships in forming and governing companies. This has further eased the incorporation and management of a company, equally for large corporations as well as small beginnings</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977913084"/>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Leg24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((Legislation.gov.uk., (2024))</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The important provisions include that of one kind of company, a private limited company, which is employed almost universally by UK businesses.</w:t>
      </w:r>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Companies Act also facilitates shareholders' rights, allowing them to influence either the approval of financial statements or the appointment to the board</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901525532"/>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Lar20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(Larcker, 2020.)</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This keeps businesses honest and responsible towards owners. To this end, it has emphasised directors' duties to ensure acting and serving in the best interest of both the company and the shareholders. The Act has addressed such aspects as the duty to avoid conflict of interest, exercise reasonable care, skill and diligence, and promote the company's success for the benefit of the shareholders. Directors failing to observe these duties will be personally liable for any damages to the company.  </w:t>
      </w:r>
    </w:p>
    <w:p w:rsidR="00241AE7"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In addition, corporate governance codes, especially the UK Corporate Governance Code, affect business operations</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754278086"/>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Wan20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(Wang, et al., 2020)</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These codes provide the principles and best practices for boards of directors on independence, risk management, and shareholder engagement to enable business entities to maintain high governance standards. These help shape the Companies Act and the corporate governance code to shape the governance structure, accountability, and confidence in businesses regarding shareholders and other stakeholders. An essential area of law is the contract, which explains the terms made and the enforcement between the parties.</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components that make a contract valid are an offer, acceptance of the offer, consideration and the intention to create legal relations. A contract exists when one party proposes the other party, which, in turn, the latter should accept with absolute certainty. Another element in the contract is the consideration - the value exchanged between the parties. It laid the foundation for product liability law, which, up to date, influences how businesses conduct their operations</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947542819"/>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Web21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(Weber-Lewerenz, 2021)</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Consideration makes a contract not to be enforceable. There must also </w:t>
      </w:r>
      <w:r w:rsidRPr="00AC1246">
        <w:rPr>
          <w:rFonts w:ascii="Times New Roman" w:hAnsi="Times New Roman" w:cs="Times New Roman"/>
          <w:sz w:val="24"/>
          <w:szCs w:val="24"/>
        </w:rPr>
        <w:lastRenderedPageBreak/>
        <w:t>be an intention to create legal relations; both parties must be bound to carry out the contract. When these are in place, the contract becomes legally binding. A contract's terms can be expressed or implied but are very important. The express terms are those stated explicitly by the parties. The implied terms are those included automatically, by operation of law, or by custom in the contract.</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best example of the former implied term is the implied warranty about satisfactory-quality goods. A breach of contract gives rise to several legal remedies</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1588810296"/>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Mit20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(Mitchell, 2020. )</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The principal one is damages - compensation for the loss incurred to the party by the breach of the contract. Sometimes, the specific performance or a decree to carry out the contract as agreed upon applies. Contract law impacts business by providing a framework within which commercial agreements are respected and, as such, enforceable; consequently, there can be a minimisation of disputes, and the businesses proceed smoothly. Employment law governs the relationship between the employer and employee through legislation to protect workers' rights and realise businesses with their various responsibilities. The UK's Primary employment legislation is governed by the law, including the Equality Act 2010, Employment Rights Act 1996, and Health and Safety at Work Act 1974</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208767169"/>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Cab20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(Cabrelli, 2020)</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Ensuring a safe and healthy environment for all workers is the employer's duty; likewise, protection against physical hurt or mental stress makes it happen.</w:t>
      </w:r>
    </w:p>
    <w:p w:rsidR="00E35C4F" w:rsidRPr="00AC1246" w:rsidRDefault="002426B5" w:rsidP="005624C4">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Of particular significance is the Equality Act 2010, which unifies and updates the various laws against discrimination</w:t>
      </w:r>
      <w:r w:rsidR="005E0FB6" w:rsidRPr="00AC1246">
        <w:rPr>
          <w:rFonts w:ascii="Times New Roman" w:hAnsi="Times New Roman" w:cs="Times New Roman"/>
          <w:sz w:val="24"/>
          <w:szCs w:val="24"/>
        </w:rPr>
        <w:t xml:space="preserve"> </w:t>
      </w:r>
      <w:sdt>
        <w:sdtPr>
          <w:rPr>
            <w:rFonts w:ascii="Times New Roman" w:hAnsi="Times New Roman" w:cs="Times New Roman"/>
            <w:sz w:val="24"/>
            <w:szCs w:val="24"/>
          </w:rPr>
          <w:id w:val="-75743537"/>
          <w:citation/>
        </w:sdtPr>
        <w:sdtEndPr/>
        <w:sdtContent>
          <w:r w:rsidR="005E0FB6" w:rsidRPr="00AC1246">
            <w:rPr>
              <w:rFonts w:ascii="Times New Roman" w:hAnsi="Times New Roman" w:cs="Times New Roman"/>
              <w:sz w:val="24"/>
              <w:szCs w:val="24"/>
            </w:rPr>
            <w:fldChar w:fldCharType="begin"/>
          </w:r>
          <w:r w:rsidR="005E0FB6" w:rsidRPr="00AC1246">
            <w:rPr>
              <w:rFonts w:ascii="Times New Roman" w:hAnsi="Times New Roman" w:cs="Times New Roman"/>
              <w:sz w:val="24"/>
              <w:szCs w:val="24"/>
            </w:rPr>
            <w:instrText xml:space="preserve"> CITATION Han24 \l 1033 </w:instrText>
          </w:r>
          <w:r w:rsidR="005E0FB6" w:rsidRPr="00AC1246">
            <w:rPr>
              <w:rFonts w:ascii="Times New Roman" w:hAnsi="Times New Roman" w:cs="Times New Roman"/>
              <w:sz w:val="24"/>
              <w:szCs w:val="24"/>
            </w:rPr>
            <w:fldChar w:fldCharType="separate"/>
          </w:r>
          <w:r w:rsidR="005E0FB6" w:rsidRPr="00AC1246">
            <w:rPr>
              <w:rFonts w:ascii="Times New Roman" w:hAnsi="Times New Roman" w:cs="Times New Roman"/>
              <w:noProof/>
              <w:sz w:val="24"/>
              <w:szCs w:val="24"/>
            </w:rPr>
            <w:t>(Hand &amp; Hooton, 2024)</w:t>
          </w:r>
          <w:r w:rsidR="005E0FB6"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It is against the law for an employer to discriminate against his employees on factors like age, gender, race, disability, and religion. It provides a legal framework for equal pay, where men and women should get equal remuneration for equal work. Employment law also tackles employees' rights to protection against unfair dismissal, redundancy, and the right to claim compensation for particular types of discrimination. Protection against victimisation when blowing the whistle is another key factor- employees being free to report unethical or illegal conduct without fear of reprisal. The business should be fully aware of these legal requirements because failure to comply with employment law leads to costly disputes and damage to one's reputation</w:t>
      </w:r>
      <w:r w:rsidR="005624C4" w:rsidRPr="00AC1246">
        <w:rPr>
          <w:rFonts w:ascii="Times New Roman" w:hAnsi="Times New Roman" w:cs="Times New Roman"/>
          <w:sz w:val="24"/>
          <w:szCs w:val="24"/>
        </w:rPr>
        <w:t xml:space="preserve"> </w:t>
      </w:r>
      <w:sdt>
        <w:sdtPr>
          <w:rPr>
            <w:rFonts w:ascii="Times New Roman" w:hAnsi="Times New Roman" w:cs="Times New Roman"/>
            <w:sz w:val="24"/>
            <w:szCs w:val="24"/>
          </w:rPr>
          <w:id w:val="-43214850"/>
          <w:citation/>
        </w:sdtPr>
        <w:sdtEndPr/>
        <w:sdtContent>
          <w:r w:rsidR="005624C4" w:rsidRPr="00AC1246">
            <w:rPr>
              <w:rFonts w:ascii="Times New Roman" w:hAnsi="Times New Roman" w:cs="Times New Roman"/>
              <w:sz w:val="24"/>
              <w:szCs w:val="24"/>
            </w:rPr>
            <w:fldChar w:fldCharType="begin"/>
          </w:r>
          <w:r w:rsidR="005624C4" w:rsidRPr="00AC1246">
            <w:rPr>
              <w:rFonts w:ascii="Times New Roman" w:hAnsi="Times New Roman" w:cs="Times New Roman"/>
              <w:sz w:val="24"/>
              <w:szCs w:val="24"/>
            </w:rPr>
            <w:instrText xml:space="preserve"> CITATION The22 \l 1033 </w:instrText>
          </w:r>
          <w:r w:rsidR="005624C4" w:rsidRPr="00AC1246">
            <w:rPr>
              <w:rFonts w:ascii="Times New Roman" w:hAnsi="Times New Roman" w:cs="Times New Roman"/>
              <w:sz w:val="24"/>
              <w:szCs w:val="24"/>
            </w:rPr>
            <w:fldChar w:fldCharType="separate"/>
          </w:r>
          <w:r w:rsidR="005624C4" w:rsidRPr="00AC1246">
            <w:rPr>
              <w:rFonts w:ascii="Times New Roman" w:hAnsi="Times New Roman" w:cs="Times New Roman"/>
              <w:noProof/>
              <w:sz w:val="24"/>
              <w:szCs w:val="24"/>
            </w:rPr>
            <w:t>(sector.)., (2022)</w:t>
          </w:r>
          <w:r w:rsidR="005624C4"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For instance, companies failing to adhere to health and safety guidelines face huge penalties and litigation costs. Case studies on workplace disputes such as wrongful dismissals or workplace discrimination showed the reasons for adhering to employment law and being fair to workers</w:t>
      </w:r>
      <w:r w:rsidR="005624C4" w:rsidRPr="00AC1246">
        <w:rPr>
          <w:rFonts w:ascii="Times New Roman" w:hAnsi="Times New Roman" w:cs="Times New Roman"/>
          <w:sz w:val="24"/>
          <w:szCs w:val="24"/>
        </w:rPr>
        <w:t xml:space="preserve"> </w:t>
      </w:r>
      <w:sdt>
        <w:sdtPr>
          <w:rPr>
            <w:rFonts w:ascii="Times New Roman" w:hAnsi="Times New Roman" w:cs="Times New Roman"/>
            <w:sz w:val="24"/>
            <w:szCs w:val="24"/>
          </w:rPr>
          <w:id w:val="1068153848"/>
          <w:citation/>
        </w:sdtPr>
        <w:sdtEndPr/>
        <w:sdtContent>
          <w:r w:rsidR="005624C4" w:rsidRPr="00AC1246">
            <w:rPr>
              <w:rFonts w:ascii="Times New Roman" w:hAnsi="Times New Roman" w:cs="Times New Roman"/>
              <w:sz w:val="24"/>
              <w:szCs w:val="24"/>
            </w:rPr>
            <w:fldChar w:fldCharType="begin"/>
          </w:r>
          <w:r w:rsidR="005624C4" w:rsidRPr="00AC1246">
            <w:rPr>
              <w:rFonts w:ascii="Times New Roman" w:hAnsi="Times New Roman" w:cs="Times New Roman"/>
              <w:sz w:val="24"/>
              <w:szCs w:val="24"/>
            </w:rPr>
            <w:instrText xml:space="preserve"> CITATION Hum191 \l 1033 </w:instrText>
          </w:r>
          <w:r w:rsidR="005624C4" w:rsidRPr="00AC1246">
            <w:rPr>
              <w:rFonts w:ascii="Times New Roman" w:hAnsi="Times New Roman" w:cs="Times New Roman"/>
              <w:sz w:val="24"/>
              <w:szCs w:val="24"/>
            </w:rPr>
            <w:fldChar w:fldCharType="separate"/>
          </w:r>
          <w:r w:rsidR="005624C4" w:rsidRPr="00AC1246">
            <w:rPr>
              <w:rFonts w:ascii="Times New Roman" w:hAnsi="Times New Roman" w:cs="Times New Roman"/>
              <w:noProof/>
              <w:sz w:val="24"/>
              <w:szCs w:val="24"/>
            </w:rPr>
            <w:t>(Watch, (2019).)</w:t>
          </w:r>
          <w:r w:rsidR="005624C4"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All these suggest </w:t>
      </w:r>
      <w:r w:rsidRPr="00AC1246">
        <w:rPr>
          <w:rFonts w:ascii="Times New Roman" w:hAnsi="Times New Roman" w:cs="Times New Roman"/>
          <w:sz w:val="24"/>
          <w:szCs w:val="24"/>
        </w:rPr>
        <w:lastRenderedPageBreak/>
        <w:t>that investment in policies and training offers business ways of dispute avoidance and ensuring that the business follows the regulations correctly. All businesses" tort law, specifically the tort of negligence, has a significant impact.</w:t>
      </w:r>
    </w:p>
    <w:p w:rsidR="004B26FC" w:rsidRPr="00AC1246" w:rsidRDefault="004B26FC" w:rsidP="00B60966">
      <w:pPr>
        <w:pStyle w:val="Heading1"/>
        <w:spacing w:line="360" w:lineRule="auto"/>
        <w:jc w:val="both"/>
        <w:rPr>
          <w:rFonts w:ascii="Times New Roman" w:hAnsi="Times New Roman" w:cs="Times New Roman"/>
          <w:b/>
          <w:color w:val="auto"/>
          <w:sz w:val="24"/>
          <w:szCs w:val="24"/>
        </w:rPr>
      </w:pPr>
      <w:bookmarkStart w:id="5" w:name="_Toc184841733"/>
      <w:r w:rsidRPr="00AC1246">
        <w:rPr>
          <w:rFonts w:ascii="Times New Roman" w:hAnsi="Times New Roman" w:cs="Times New Roman"/>
          <w:b/>
          <w:color w:val="auto"/>
          <w:sz w:val="24"/>
          <w:szCs w:val="24"/>
        </w:rPr>
        <w:t>Critical Evaluation of the UK Legal System</w:t>
      </w:r>
      <w:bookmarkEnd w:id="5"/>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The UK has provided a legal system with many advantages that make the legal framework favorable for business and fairness</w:t>
      </w:r>
      <w:r w:rsidR="00732228" w:rsidRPr="00AC1246">
        <w:rPr>
          <w:rFonts w:ascii="Times New Roman" w:hAnsi="Times New Roman" w:cs="Times New Roman"/>
          <w:sz w:val="24"/>
          <w:szCs w:val="24"/>
        </w:rPr>
        <w:t xml:space="preserve"> </w:t>
      </w:r>
      <w:sdt>
        <w:sdtPr>
          <w:rPr>
            <w:rFonts w:ascii="Times New Roman" w:hAnsi="Times New Roman" w:cs="Times New Roman"/>
            <w:sz w:val="24"/>
            <w:szCs w:val="24"/>
          </w:rPr>
          <w:id w:val="1781150567"/>
          <w:citation/>
        </w:sdtPr>
        <w:sdtEndPr/>
        <w:sdtContent>
          <w:r w:rsidR="00732228" w:rsidRPr="00AC1246">
            <w:rPr>
              <w:rFonts w:ascii="Times New Roman" w:hAnsi="Times New Roman" w:cs="Times New Roman"/>
              <w:sz w:val="24"/>
              <w:szCs w:val="24"/>
            </w:rPr>
            <w:fldChar w:fldCharType="begin"/>
          </w:r>
          <w:r w:rsidR="00732228" w:rsidRPr="00AC1246">
            <w:rPr>
              <w:rFonts w:ascii="Times New Roman" w:hAnsi="Times New Roman" w:cs="Times New Roman"/>
              <w:sz w:val="24"/>
              <w:szCs w:val="24"/>
            </w:rPr>
            <w:instrText xml:space="preserve"> CITATION Alm221 \l 1033 </w:instrText>
          </w:r>
          <w:r w:rsidR="00732228" w:rsidRPr="00AC1246">
            <w:rPr>
              <w:rFonts w:ascii="Times New Roman" w:hAnsi="Times New Roman" w:cs="Times New Roman"/>
              <w:sz w:val="24"/>
              <w:szCs w:val="24"/>
            </w:rPr>
            <w:fldChar w:fldCharType="separate"/>
          </w:r>
          <w:r w:rsidR="00732228" w:rsidRPr="00AC1246">
            <w:rPr>
              <w:rFonts w:ascii="Times New Roman" w:hAnsi="Times New Roman" w:cs="Times New Roman"/>
              <w:noProof/>
              <w:sz w:val="24"/>
              <w:szCs w:val="24"/>
            </w:rPr>
            <w:t>(Almeida, et al., 2022)</w:t>
          </w:r>
          <w:r w:rsidR="007322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One is that its laws are written, standardized, and readily available to the masses. This type of transparency makes it easy for businesses to know what they are entitled to and what is expected of them when entering into contracts. Also, the judiciary exercises independence, hence providing bias-free solutions to any issue. The parallelism between the branches of power makes businesses gain confidence that they will receive an impartial judgment. It is also praiseworthy that the system under study is ready to face today's challenges successfully. In this regard, programs, including online courts and the use of artificial intelligence, demonstrate a willingness to develop the necessary efficiencies. Subsequent modifications are more evident in the legal system's agility and ability to transition to the new regulatory environment, but it needs to retain stability.</w:t>
      </w:r>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However, the UK legal system also has many drawbacks, especially if it concerns access to legislation for SMEs. In many cases, legal actions are costly, making small business organizations drop the idea of going to court. Hence, many cases still need to be addressed. Moreover, compliance and efficient navigation of the complex flow of legal processes become a problem mainly for those business entities needing specialized legal staff</w:t>
      </w:r>
      <w:r w:rsidR="00732228" w:rsidRPr="00AC1246">
        <w:rPr>
          <w:rFonts w:ascii="Times New Roman" w:hAnsi="Times New Roman" w:cs="Times New Roman"/>
          <w:sz w:val="24"/>
          <w:szCs w:val="24"/>
        </w:rPr>
        <w:t xml:space="preserve"> </w:t>
      </w:r>
      <w:sdt>
        <w:sdtPr>
          <w:rPr>
            <w:rFonts w:ascii="Times New Roman" w:hAnsi="Times New Roman" w:cs="Times New Roman"/>
            <w:sz w:val="24"/>
            <w:szCs w:val="24"/>
          </w:rPr>
          <w:id w:val="-241412094"/>
          <w:citation/>
        </w:sdtPr>
        <w:sdtEndPr/>
        <w:sdtContent>
          <w:r w:rsidR="00732228" w:rsidRPr="00AC1246">
            <w:rPr>
              <w:rFonts w:ascii="Times New Roman" w:hAnsi="Times New Roman" w:cs="Times New Roman"/>
              <w:sz w:val="24"/>
              <w:szCs w:val="24"/>
            </w:rPr>
            <w:fldChar w:fldCharType="begin"/>
          </w:r>
          <w:r w:rsidR="00732228" w:rsidRPr="00AC1246">
            <w:rPr>
              <w:rFonts w:ascii="Times New Roman" w:hAnsi="Times New Roman" w:cs="Times New Roman"/>
              <w:sz w:val="24"/>
              <w:szCs w:val="24"/>
            </w:rPr>
            <w:instrText xml:space="preserve"> CITATION Fan21 \l 1033 </w:instrText>
          </w:r>
          <w:r w:rsidR="00732228" w:rsidRPr="00AC1246">
            <w:rPr>
              <w:rFonts w:ascii="Times New Roman" w:hAnsi="Times New Roman" w:cs="Times New Roman"/>
              <w:sz w:val="24"/>
              <w:szCs w:val="24"/>
            </w:rPr>
            <w:fldChar w:fldCharType="separate"/>
          </w:r>
          <w:r w:rsidR="00732228" w:rsidRPr="00AC1246">
            <w:rPr>
              <w:rFonts w:ascii="Times New Roman" w:hAnsi="Times New Roman" w:cs="Times New Roman"/>
              <w:noProof/>
              <w:sz w:val="24"/>
              <w:szCs w:val="24"/>
            </w:rPr>
            <w:t>(Fanto, 2021)</w:t>
          </w:r>
          <w:r w:rsidR="007322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Another challenge that DFs face is the slow transition to new business forms, such as the gig economy. Such a delay in regulatory response poses questions and unease to progressive businesses that are established in progressive sectors. Many such issues are exemplified by Uber and Deliveroo, which have hitherto faced challenges, particularly in workers and rights.</w:t>
      </w:r>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Such examples only prove that there is a necessity to bring reforms that will correspond to the modern requirements of the companies. Efficiency in processes, Legal Tech as a means to lower the costs brought by litigations, and the need to adequately respond to emerging business models are some ways to change the current legal framework for the better</w:t>
      </w:r>
      <w:r w:rsidR="00732228" w:rsidRPr="00AC1246">
        <w:rPr>
          <w:rFonts w:ascii="Times New Roman" w:hAnsi="Times New Roman" w:cs="Times New Roman"/>
          <w:sz w:val="24"/>
          <w:szCs w:val="24"/>
        </w:rPr>
        <w:t xml:space="preserve"> </w:t>
      </w:r>
      <w:sdt>
        <w:sdtPr>
          <w:rPr>
            <w:rFonts w:ascii="Times New Roman" w:hAnsi="Times New Roman" w:cs="Times New Roman"/>
            <w:sz w:val="24"/>
            <w:szCs w:val="24"/>
          </w:rPr>
          <w:id w:val="-1529325094"/>
          <w:citation/>
        </w:sdtPr>
        <w:sdtEndPr/>
        <w:sdtContent>
          <w:r w:rsidR="00732228" w:rsidRPr="00AC1246">
            <w:rPr>
              <w:rFonts w:ascii="Times New Roman" w:hAnsi="Times New Roman" w:cs="Times New Roman"/>
              <w:sz w:val="24"/>
              <w:szCs w:val="24"/>
            </w:rPr>
            <w:fldChar w:fldCharType="begin"/>
          </w:r>
          <w:r w:rsidR="00732228" w:rsidRPr="00AC1246">
            <w:rPr>
              <w:rFonts w:ascii="Times New Roman" w:hAnsi="Times New Roman" w:cs="Times New Roman"/>
              <w:sz w:val="24"/>
              <w:szCs w:val="24"/>
            </w:rPr>
            <w:instrText xml:space="preserve"> CITATION Arm20 \l 1033 </w:instrText>
          </w:r>
          <w:r w:rsidR="00732228" w:rsidRPr="00AC1246">
            <w:rPr>
              <w:rFonts w:ascii="Times New Roman" w:hAnsi="Times New Roman" w:cs="Times New Roman"/>
              <w:sz w:val="24"/>
              <w:szCs w:val="24"/>
            </w:rPr>
            <w:fldChar w:fldCharType="separate"/>
          </w:r>
          <w:r w:rsidR="00732228" w:rsidRPr="00AC1246">
            <w:rPr>
              <w:rFonts w:ascii="Times New Roman" w:hAnsi="Times New Roman" w:cs="Times New Roman"/>
              <w:noProof/>
              <w:sz w:val="24"/>
              <w:szCs w:val="24"/>
            </w:rPr>
            <w:t>(Armour &amp; Sako, 2020)</w:t>
          </w:r>
          <w:r w:rsidR="007322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Although the laws in the UK are enforceable due to the legal system put in place, certain areas </w:t>
      </w:r>
      <w:r w:rsidRPr="00AC1246">
        <w:rPr>
          <w:rFonts w:ascii="Times New Roman" w:hAnsi="Times New Roman" w:cs="Times New Roman"/>
          <w:sz w:val="24"/>
          <w:szCs w:val="24"/>
        </w:rPr>
        <w:lastRenderedPageBreak/>
        <w:t>must be enhanced to offer the required results in what has become a challenging and ever-evolving business.</w:t>
      </w:r>
    </w:p>
    <w:p w:rsidR="004B26FC" w:rsidRPr="00AC1246" w:rsidRDefault="004B26FC" w:rsidP="00B60966">
      <w:pPr>
        <w:pStyle w:val="Heading1"/>
        <w:spacing w:line="360" w:lineRule="auto"/>
        <w:jc w:val="both"/>
        <w:rPr>
          <w:rFonts w:ascii="Times New Roman" w:hAnsi="Times New Roman" w:cs="Times New Roman"/>
          <w:b/>
          <w:color w:val="auto"/>
          <w:sz w:val="24"/>
          <w:szCs w:val="24"/>
        </w:rPr>
      </w:pPr>
      <w:bookmarkStart w:id="6" w:name="_Toc184841734"/>
      <w:r w:rsidRPr="00AC1246">
        <w:rPr>
          <w:rFonts w:ascii="Times New Roman" w:hAnsi="Times New Roman" w:cs="Times New Roman"/>
          <w:b/>
          <w:color w:val="auto"/>
          <w:sz w:val="24"/>
          <w:szCs w:val="24"/>
        </w:rPr>
        <w:t>Recommendations for Start-Ups</w:t>
      </w:r>
      <w:bookmarkEnd w:id="6"/>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When the UK legal environment is this convoluted, defensive measures are not an option for start-ups; assertive measures must be employed. The first fundamental assumption is that detailed contracts that show the parties' responsibilities, goals, and penalties for non-compliance or deviations will eventually exist. This eliminates contract ambiguity and gives the parties a definitive legal framework.</w:t>
      </w:r>
    </w:p>
    <w:p w:rsidR="004B26FC" w:rsidRPr="00AC1246" w:rsidRDefault="004B26FC" w:rsidP="001319B9">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It is equally important to identify key regulations, the Companies Act 2006, the Equality Act 2010, the General Data Protection Regulation (GDPR), and many others</w:t>
      </w:r>
      <w:r w:rsidR="00732228" w:rsidRPr="00AC1246">
        <w:rPr>
          <w:rFonts w:ascii="Times New Roman" w:hAnsi="Times New Roman" w:cs="Times New Roman"/>
          <w:sz w:val="24"/>
          <w:szCs w:val="24"/>
        </w:rPr>
        <w:t xml:space="preserve"> </w:t>
      </w:r>
      <w:sdt>
        <w:sdtPr>
          <w:rPr>
            <w:rFonts w:ascii="Times New Roman" w:hAnsi="Times New Roman" w:cs="Times New Roman"/>
            <w:sz w:val="24"/>
            <w:szCs w:val="24"/>
          </w:rPr>
          <w:id w:val="-1330827451"/>
          <w:citation/>
        </w:sdtPr>
        <w:sdtEndPr/>
        <w:sdtContent>
          <w:r w:rsidR="00732228" w:rsidRPr="00AC1246">
            <w:rPr>
              <w:rFonts w:ascii="Times New Roman" w:hAnsi="Times New Roman" w:cs="Times New Roman"/>
              <w:sz w:val="24"/>
              <w:szCs w:val="24"/>
            </w:rPr>
            <w:fldChar w:fldCharType="begin"/>
          </w:r>
          <w:r w:rsidR="00732228" w:rsidRPr="00AC1246">
            <w:rPr>
              <w:rFonts w:ascii="Times New Roman" w:hAnsi="Times New Roman" w:cs="Times New Roman"/>
              <w:sz w:val="24"/>
              <w:szCs w:val="24"/>
            </w:rPr>
            <w:instrText xml:space="preserve"> CITATION Kla20 \l 1033 </w:instrText>
          </w:r>
          <w:r w:rsidR="00732228" w:rsidRPr="00AC1246">
            <w:rPr>
              <w:rFonts w:ascii="Times New Roman" w:hAnsi="Times New Roman" w:cs="Times New Roman"/>
              <w:sz w:val="24"/>
              <w:szCs w:val="24"/>
            </w:rPr>
            <w:fldChar w:fldCharType="separate"/>
          </w:r>
          <w:r w:rsidR="00732228" w:rsidRPr="00AC1246">
            <w:rPr>
              <w:rFonts w:ascii="Times New Roman" w:hAnsi="Times New Roman" w:cs="Times New Roman"/>
              <w:noProof/>
              <w:sz w:val="24"/>
              <w:szCs w:val="24"/>
            </w:rPr>
            <w:t>(Klar, 2020)</w:t>
          </w:r>
          <w:r w:rsidR="00732228" w:rsidRPr="00AC1246">
            <w:rPr>
              <w:rFonts w:ascii="Times New Roman" w:hAnsi="Times New Roman" w:cs="Times New Roman"/>
              <w:sz w:val="24"/>
              <w:szCs w:val="24"/>
            </w:rPr>
            <w:fldChar w:fldCharType="end"/>
          </w:r>
        </w:sdtContent>
      </w:sdt>
      <w:r w:rsidRPr="00AC1246">
        <w:rPr>
          <w:rFonts w:ascii="Times New Roman" w:hAnsi="Times New Roman" w:cs="Times New Roman"/>
          <w:sz w:val="24"/>
          <w:szCs w:val="24"/>
        </w:rPr>
        <w:t xml:space="preserve">. Knowledge of these laws assists start-ups in abiding by the laws to avoid any damage to chimps and gain an ethical means of running their enterprise. When sought from competent law firms, legal advice as the business Charts commence their journey can be valuable in guiding start-ups through convoluted legal provisions. This investment can save money; other costs </w:t>
      </w:r>
      <w:r w:rsidR="001319B9">
        <w:rPr>
          <w:rFonts w:ascii="Times New Roman" w:hAnsi="Times New Roman" w:cs="Times New Roman"/>
          <w:sz w:val="24"/>
          <w:szCs w:val="24"/>
        </w:rPr>
        <w:t>are</w:t>
      </w:r>
      <w:r w:rsidRPr="00AC1246">
        <w:rPr>
          <w:rFonts w:ascii="Times New Roman" w:hAnsi="Times New Roman" w:cs="Times New Roman"/>
          <w:sz w:val="24"/>
          <w:szCs w:val="24"/>
        </w:rPr>
        <w:t xml:space="preserve"> spent on future cases dealing with different liabilities.</w:t>
      </w:r>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It also implies periodic checks of the state of compliance activities to effect changes resulting from modifications to the legal framework. In order to maintain compliance with existing laws and standards, there should be internal ways for tracking new regulations and changes. It is also possible to inoculate a compliance program by developing relationships with various industry associations and regulatory agencies to learn more about emerging trends in norms and practices.</w:t>
      </w:r>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With the new legal requirements, companies in the start-up industry only pretend to obey the existing laws and introduce some mechanisms for managing risks. It becomes clear that by choosing legal compliance as the major priority, start-ups can create a platform for long-term development. It saves the business and builds credibility with stakeholders, which will help this start-up succeed in the future competitive environment.</w:t>
      </w:r>
    </w:p>
    <w:p w:rsidR="004B26FC" w:rsidRPr="00AC1246" w:rsidRDefault="004B26FC" w:rsidP="00B60966">
      <w:pPr>
        <w:pStyle w:val="Heading1"/>
        <w:spacing w:line="360" w:lineRule="auto"/>
        <w:jc w:val="both"/>
        <w:rPr>
          <w:rFonts w:ascii="Times New Roman" w:hAnsi="Times New Roman" w:cs="Times New Roman"/>
          <w:b/>
          <w:color w:val="auto"/>
          <w:sz w:val="24"/>
          <w:szCs w:val="24"/>
        </w:rPr>
      </w:pPr>
      <w:bookmarkStart w:id="7" w:name="_Toc184841735"/>
      <w:r w:rsidRPr="00AC1246">
        <w:rPr>
          <w:rFonts w:ascii="Times New Roman" w:hAnsi="Times New Roman" w:cs="Times New Roman"/>
          <w:b/>
          <w:color w:val="auto"/>
          <w:sz w:val="24"/>
          <w:szCs w:val="24"/>
        </w:rPr>
        <w:t>Conclusion</w:t>
      </w:r>
      <w:bookmarkEnd w:id="7"/>
    </w:p>
    <w:p w:rsidR="004B26FC"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 xml:space="preserve">The United Kingdom's legal system guides and forms a basis for business operations within the UK legal Boulevard by acting as an organized and impartial legal system for law compliance and completeness. These strengths are the clarity of Union decisions, the recognized independence of </w:t>
      </w:r>
      <w:r w:rsidRPr="00AC1246">
        <w:rPr>
          <w:rFonts w:ascii="Times New Roman" w:hAnsi="Times New Roman" w:cs="Times New Roman"/>
          <w:sz w:val="24"/>
          <w:szCs w:val="24"/>
        </w:rPr>
        <w:lastRenderedPageBreak/>
        <w:t>the Union, and flexibility, which make the necessary basis for the confident functioning of businesses. However, high litigation costs, legal formality problems, and regulatory authorities' slow response in dealing with new forms of business are some of the inhibitors that indicate the need for change.</w:t>
      </w:r>
    </w:p>
    <w:p w:rsidR="00732228" w:rsidRPr="00AC1246" w:rsidRDefault="004B26FC" w:rsidP="00B60966">
      <w:pPr>
        <w:spacing w:line="360" w:lineRule="auto"/>
        <w:jc w:val="both"/>
        <w:rPr>
          <w:rFonts w:ascii="Times New Roman" w:hAnsi="Times New Roman" w:cs="Times New Roman"/>
          <w:sz w:val="24"/>
          <w:szCs w:val="24"/>
        </w:rPr>
      </w:pPr>
      <w:r w:rsidRPr="00AC1246">
        <w:rPr>
          <w:rFonts w:ascii="Times New Roman" w:hAnsi="Times New Roman" w:cs="Times New Roman"/>
          <w:sz w:val="24"/>
          <w:szCs w:val="24"/>
        </w:rPr>
        <w:t>Due to various competing demands, it is only rational that start-ups seek to apply strategic plans to deal with the legal aspects effectively. By complying with the legal requirements, an appeal to legal expertise, and policies regarding new legislation, they can minimize adverse risks while increasing work efficiency. In the future, the UK legal system will likely become even more complex; therefore, start-ups that acknowledge legal risks and address these challenges optimally stand a good chance of excelling in a complex competitive environment. Incorporating legal advice into business policies serves as a preventive measure against litigation claims and proactive action for the betterment of the business.</w:t>
      </w:r>
      <w:bookmarkEnd w:id="0"/>
    </w:p>
    <w:p w:rsidR="009600AD" w:rsidRDefault="009600AD">
      <w:r>
        <w:br w:type="page"/>
      </w:r>
    </w:p>
    <w:p w:rsidR="009600AD" w:rsidRPr="00613DEF" w:rsidRDefault="009600AD" w:rsidP="009600AD">
      <w:pPr>
        <w:pStyle w:val="Heading1"/>
        <w:spacing w:line="360" w:lineRule="auto"/>
        <w:jc w:val="center"/>
        <w:rPr>
          <w:rStyle w:val="Strong"/>
          <w:rFonts w:asciiTheme="majorBidi" w:hAnsiTheme="majorBidi"/>
          <w:color w:val="auto"/>
          <w:sz w:val="24"/>
          <w:szCs w:val="24"/>
        </w:rPr>
      </w:pPr>
      <w:bookmarkStart w:id="8" w:name="_Toc184841736"/>
      <w:r w:rsidRPr="00613DEF">
        <w:rPr>
          <w:rStyle w:val="Strong"/>
          <w:rFonts w:asciiTheme="majorBidi" w:hAnsiTheme="majorBidi"/>
          <w:color w:val="auto"/>
          <w:sz w:val="24"/>
          <w:szCs w:val="24"/>
        </w:rPr>
        <w:lastRenderedPageBreak/>
        <w:t>Part 2</w:t>
      </w:r>
      <w:bookmarkEnd w:id="8"/>
    </w:p>
    <w:p w:rsidR="009600AD" w:rsidRPr="00613DEF" w:rsidRDefault="009600AD" w:rsidP="009600AD">
      <w:pPr>
        <w:pStyle w:val="Heading1"/>
        <w:spacing w:line="360" w:lineRule="auto"/>
        <w:jc w:val="both"/>
        <w:rPr>
          <w:rFonts w:asciiTheme="majorBidi" w:hAnsiTheme="majorBidi"/>
          <w:color w:val="auto"/>
          <w:sz w:val="24"/>
          <w:szCs w:val="24"/>
        </w:rPr>
      </w:pPr>
      <w:bookmarkStart w:id="9" w:name="_Toc184841737"/>
      <w:r w:rsidRPr="00613DEF">
        <w:rPr>
          <w:rStyle w:val="Strong"/>
          <w:rFonts w:asciiTheme="majorBidi" w:hAnsiTheme="majorBidi"/>
          <w:color w:val="auto"/>
          <w:sz w:val="24"/>
          <w:szCs w:val="24"/>
        </w:rPr>
        <w:t>Introduction</w:t>
      </w:r>
      <w:bookmarkEnd w:id="9"/>
    </w:p>
    <w:p w:rsidR="009600AD" w:rsidRPr="00035CDA" w:rsidRDefault="009600AD" w:rsidP="00613DEF">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This report outlines three business-case scenarios with legal solutions relevant to employment, contract, and company law. The report aims to provide an in-depth analysis by highlighting the legal issues the parties will face, along with necessary and proper legal solutions regarding each case and recommendations. Business laws play an indispensable role in solving disputes arising from the business context with fairness and efficacy. It establishes legal frameworks that govern business operations, protecting the employer and employee's interests and ensuring that contractual obligations are met. This report will be structured to analyze each case scenario first, using relevant legal principles and making specific solutions. Next, we will compare such solutions with alternative legal advice and dispute resolution mechanisms. The ultimate findings of the report are about how business law plays a significant role in resolving disputes and instilling good business practices.</w:t>
      </w:r>
    </w:p>
    <w:p w:rsidR="009600AD" w:rsidRPr="00613DEF" w:rsidRDefault="009600AD" w:rsidP="009600AD">
      <w:pPr>
        <w:pStyle w:val="Heading1"/>
        <w:spacing w:line="360" w:lineRule="auto"/>
        <w:jc w:val="both"/>
        <w:rPr>
          <w:rFonts w:asciiTheme="majorBidi" w:eastAsia="Times New Roman" w:hAnsiTheme="majorBidi"/>
          <w:b/>
          <w:bCs/>
          <w:color w:val="auto"/>
          <w:sz w:val="24"/>
          <w:szCs w:val="24"/>
        </w:rPr>
      </w:pPr>
      <w:bookmarkStart w:id="10" w:name="_Toc184841738"/>
      <w:r w:rsidRPr="00613DEF">
        <w:rPr>
          <w:rFonts w:asciiTheme="majorBidi" w:eastAsia="Times New Roman" w:hAnsiTheme="majorBidi"/>
          <w:b/>
          <w:bCs/>
          <w:color w:val="auto"/>
          <w:sz w:val="24"/>
          <w:szCs w:val="24"/>
        </w:rPr>
        <w:t>Case Scenario 1: Gordon’s Employment Contract and Wage Dispute</w:t>
      </w:r>
      <w:bookmarkEnd w:id="10"/>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1" w:name="_Toc184841739"/>
      <w:r w:rsidRPr="00035CDA">
        <w:rPr>
          <w:rFonts w:asciiTheme="majorBidi" w:eastAsia="Times New Roman" w:hAnsiTheme="majorBidi"/>
          <w:color w:val="auto"/>
          <w:sz w:val="24"/>
          <w:szCs w:val="24"/>
        </w:rPr>
        <w:t>Case Summary</w:t>
      </w:r>
      <w:bookmarkEnd w:id="11"/>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An employer employed Gordon under an employment contract with a stipulated wage. In 2015, 2016, and 2017, Gordon and his employer agreed to variations in the contract terms, including a reduction in his wage. These changes were done in response to the financial problems that the company was experiencing. 2017, by the time the company started to recover, Gordon contested the wages he received in 2015 and 2016 and postulated that he was entitled to the wage in his original contract </w:t>
      </w:r>
      <w:sdt>
        <w:sdtPr>
          <w:rPr>
            <w:rFonts w:asciiTheme="majorBidi" w:hAnsiTheme="majorBidi" w:cstheme="majorBidi"/>
            <w:sz w:val="24"/>
            <w:szCs w:val="24"/>
          </w:rPr>
          <w:id w:val="-1096857915"/>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Gil24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(Gilson,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The key issues in this application are whether Gordon can file a claim for the failure of payment of wages regarding 2017 on account of the original agreement signed and whether he can demand the wages he agreed to forgo in F/Y 2015/2016, given the improved financial situation of a company.</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2" w:name="_Toc184841740"/>
      <w:r w:rsidRPr="00035CDA">
        <w:rPr>
          <w:rFonts w:asciiTheme="majorBidi" w:eastAsia="Times New Roman" w:hAnsiTheme="majorBidi"/>
          <w:color w:val="auto"/>
          <w:sz w:val="24"/>
          <w:szCs w:val="24"/>
        </w:rPr>
        <w:t>Relevant Legal Concepts</w:t>
      </w:r>
      <w:bookmarkEnd w:id="12"/>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The main legal concepts involved in this case include the law of contract and employment law, particularly about wage entitlement and contractual obligations.</w:t>
      </w:r>
    </w:p>
    <w:p w:rsidR="009600AD" w:rsidRPr="00035CDA" w:rsidRDefault="009600AD" w:rsidP="009600AD">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lastRenderedPageBreak/>
        <w:t>Contract Law (Variation of Contract)</w:t>
      </w:r>
      <w:r w:rsidRPr="00035CDA">
        <w:rPr>
          <w:rFonts w:asciiTheme="majorBidi" w:eastAsia="Times New Roman" w:hAnsiTheme="majorBidi" w:cstheme="majorBidi"/>
          <w:sz w:val="24"/>
          <w:szCs w:val="24"/>
        </w:rPr>
        <w:t xml:space="preserve">: </w:t>
      </w:r>
      <w:r w:rsidRPr="00035CDA">
        <w:rPr>
          <w:rFonts w:asciiTheme="majorBidi" w:hAnsiTheme="majorBidi" w:cstheme="majorBidi"/>
          <w:sz w:val="24"/>
          <w:szCs w:val="24"/>
        </w:rPr>
        <w:t xml:space="preserve">According to contract law, a contract can be varied or modified if all parties concerned agree on different terms. However, such a variation needs to be supported by consideration that needs to be given by each party in return. In the case of Gordon, the consent to wage reduction for two years, 2015 and 2016, was a temporary variation because of a valid external reason, such as the company's financial constraints </w:t>
      </w:r>
      <w:sdt>
        <w:sdtPr>
          <w:rPr>
            <w:rFonts w:asciiTheme="majorBidi" w:hAnsiTheme="majorBidi" w:cstheme="majorBidi"/>
            <w:sz w:val="24"/>
            <w:szCs w:val="24"/>
          </w:rPr>
          <w:id w:val="956915455"/>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Kla20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(Klar, 2020)</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The legal question is whether Gordon's employment contract changes were legally binding and whether any consideration was given for such an amendment.</w:t>
      </w:r>
    </w:p>
    <w:p w:rsidR="009600AD" w:rsidRPr="00035CDA" w:rsidRDefault="009600AD" w:rsidP="009600AD">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Employment Law (Wage Entitlements, Contractual Obligations)</w:t>
      </w:r>
      <w:r w:rsidRPr="00035CDA">
        <w:rPr>
          <w:rFonts w:asciiTheme="majorBidi" w:eastAsia="Times New Roman" w:hAnsiTheme="majorBidi" w:cstheme="majorBidi"/>
          <w:sz w:val="24"/>
          <w:szCs w:val="24"/>
        </w:rPr>
        <w:t xml:space="preserve">: </w:t>
      </w:r>
      <w:r w:rsidRPr="00035CDA">
        <w:rPr>
          <w:rFonts w:asciiTheme="majorBidi" w:hAnsiTheme="majorBidi" w:cstheme="majorBidi"/>
          <w:sz w:val="24"/>
          <w:szCs w:val="24"/>
        </w:rPr>
        <w:t xml:space="preserve">Entitlement to Wage, Contractual Obligations Employment law entitles an employee to the wages that are due to him according to his employment contract, except when there is a valid modification of terms agreed upon. If not properly agreed upon, a wage reduction leads to an entitlement to the original wage amount. The legal question is whether Gordon has any right to reclaim the wages he forfeited in the earlier years after the company's recovery </w:t>
      </w:r>
      <w:sdt>
        <w:sdtPr>
          <w:rPr>
            <w:rFonts w:asciiTheme="majorBidi" w:hAnsiTheme="majorBidi" w:cstheme="majorBidi"/>
            <w:sz w:val="24"/>
            <w:szCs w:val="24"/>
          </w:rPr>
          <w:id w:val="-1213881872"/>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Arm20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(Armour &amp; Sako, 2020)</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3" w:name="_Toc184841741"/>
      <w:r w:rsidRPr="00035CDA">
        <w:rPr>
          <w:rFonts w:asciiTheme="majorBidi" w:eastAsia="Times New Roman" w:hAnsiTheme="majorBidi"/>
          <w:color w:val="auto"/>
          <w:sz w:val="24"/>
          <w:szCs w:val="24"/>
        </w:rPr>
        <w:t>Legal Analysis and Solutions</w:t>
      </w:r>
      <w:bookmarkEnd w:id="13"/>
    </w:p>
    <w:p w:rsidR="009600AD" w:rsidRPr="00035CDA" w:rsidRDefault="009600AD" w:rsidP="009600AD">
      <w:pPr>
        <w:numPr>
          <w:ilvl w:val="0"/>
          <w:numId w:val="17"/>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Can Gordon claim wages for 2017 based on the original contract?</w:t>
      </w:r>
    </w:p>
    <w:p w:rsidR="009600AD" w:rsidRPr="00035CDA" w:rsidRDefault="009600AD" w:rsidP="009600AD">
      <w:p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hAnsiTheme="majorBidi" w:cstheme="majorBidi"/>
          <w:sz w:val="24"/>
          <w:szCs w:val="24"/>
        </w:rPr>
        <w:t xml:space="preserve">Depending on whether the wage reduction agreement was effectively rescinded upon the company's recovery, Gordon will claim wages for 2017 based on the original contract. In case the employer did not reinstate the original wage structure in 2017, Gordon argues that the company is in breach of the original contract. Since the variation occurred due to financial difficulty, the employers' recovery is implied as one of the original contract's terms </w:t>
      </w:r>
      <w:sdt>
        <w:sdtPr>
          <w:rPr>
            <w:rFonts w:asciiTheme="majorBidi" w:hAnsiTheme="majorBidi" w:cstheme="majorBidi"/>
            <w:sz w:val="24"/>
            <w:szCs w:val="24"/>
          </w:rPr>
          <w:id w:val="-760906474"/>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Fan21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(Fanto, 2021)</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If those employers have not explicitly maintained that this wage reduction applies permanently, or if throughout 2017, they remain silent about different terms, Gordon can argue that under his wage agreement, he has a case from the fact that his terms were the original ones.</w:t>
      </w:r>
    </w:p>
    <w:p w:rsidR="009600AD" w:rsidRPr="00035CDA" w:rsidRDefault="009600AD" w:rsidP="009600AD">
      <w:pPr>
        <w:numPr>
          <w:ilvl w:val="0"/>
          <w:numId w:val="18"/>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Can Gordon demand the wages he gave up in 2015 and 2016 after the company’s recovery?</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lastRenderedPageBreak/>
        <w:t xml:space="preserve">This means that Gordon demanded the wages he gave up in 2015 and 2016, depending on the legal nature of the wage reduction agreement. Suppose the agreement to reduce the wages was considered, and the financial difficulties faced by the company were expressed as a temporary measure. In that case, Gordon has grounds for claiming back the reduced wages once the company is financially stable. However, if it was considered a permanent variation of the contract, it is said that Gordon had waived the right to recover the lost wages </w:t>
      </w:r>
      <w:sdt>
        <w:sdtPr>
          <w:rPr>
            <w:rFonts w:asciiTheme="majorBidi" w:hAnsiTheme="majorBidi" w:cstheme="majorBidi"/>
            <w:sz w:val="24"/>
            <w:szCs w:val="24"/>
          </w:rPr>
          <w:id w:val="261804831"/>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Alm221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(Almeida, et al., 2022)</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The crucial factor here is whether the contract variation was temporary or permanent and whether there was consideration for the pay reduction.</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4" w:name="_Toc184841742"/>
      <w:r w:rsidRPr="00035CDA">
        <w:rPr>
          <w:rFonts w:asciiTheme="majorBidi" w:eastAsia="Times New Roman" w:hAnsiTheme="majorBidi"/>
          <w:color w:val="auto"/>
          <w:sz w:val="24"/>
          <w:szCs w:val="24"/>
        </w:rPr>
        <w:t>Recommendations</w:t>
      </w:r>
      <w:bookmarkEnd w:id="14"/>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First, Gordon should approach the matter through negotiation with his employer to handle the wage claim. It is added to the advantage of adopting a conciliatory approach since, in view, the working relationship is continuous. Gordon should first provide proof of what was agreed upon in the original contract terms, then document the variations agreed to in 2015 and 2016 </w:t>
      </w:r>
      <w:sdt>
        <w:sdtPr>
          <w:rPr>
            <w:rFonts w:asciiTheme="majorBidi" w:hAnsiTheme="majorBidi" w:cstheme="majorBidi"/>
            <w:sz w:val="24"/>
            <w:szCs w:val="24"/>
          </w:rPr>
          <w:id w:val="-1090850259"/>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Hum191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(Watch, (2019).)</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From there, he can address the outstanding wages for 2017 as per the original contract terms since the company has been declared recovered. If negotiation is not possible, Gordon can only resort to litigation in search of legal remedies. If the company is unwilling to pay wages due, he can file a claim against them for breach of contract. Alternative dispute resolution mechanisms like mediation or arbitration can also be considered if both parties are willing to participate.</w:t>
      </w:r>
    </w:p>
    <w:p w:rsidR="009600AD" w:rsidRPr="00613DEF" w:rsidRDefault="009600AD" w:rsidP="009600AD">
      <w:pPr>
        <w:pStyle w:val="Heading1"/>
        <w:spacing w:line="360" w:lineRule="auto"/>
        <w:jc w:val="both"/>
        <w:rPr>
          <w:rFonts w:asciiTheme="majorBidi" w:eastAsia="Times New Roman" w:hAnsiTheme="majorBidi"/>
          <w:b/>
          <w:bCs/>
          <w:color w:val="auto"/>
          <w:sz w:val="24"/>
          <w:szCs w:val="24"/>
        </w:rPr>
      </w:pPr>
      <w:bookmarkStart w:id="15" w:name="_Toc184841743"/>
      <w:r w:rsidRPr="00613DEF">
        <w:rPr>
          <w:rFonts w:asciiTheme="majorBidi" w:eastAsia="Times New Roman" w:hAnsiTheme="majorBidi"/>
          <w:b/>
          <w:bCs/>
          <w:color w:val="auto"/>
          <w:sz w:val="24"/>
          <w:szCs w:val="24"/>
        </w:rPr>
        <w:t>Case Scenario 2: Janet’s Consumer Rights and Virgin Media Service Dispute</w:t>
      </w:r>
      <w:bookmarkEnd w:id="15"/>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6" w:name="_Toc184841744"/>
      <w:r w:rsidRPr="00035CDA">
        <w:rPr>
          <w:rFonts w:asciiTheme="majorBidi" w:eastAsia="Times New Roman" w:hAnsiTheme="majorBidi"/>
          <w:color w:val="auto"/>
          <w:sz w:val="24"/>
          <w:szCs w:val="24"/>
        </w:rPr>
        <w:t>Case Summary</w:t>
      </w:r>
      <w:bookmarkEnd w:id="16"/>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Janet contracted with Virgin Media to supply her with broadband and TV. The contract specified an installation date, which must be complied with since the service was not on. Reassurances of an installation date were given well past the due date, but that did not happen, and she never had the installation. Adding insult to injury, she began receiving incorrect bills for the service she never enjoyed </w:t>
      </w:r>
      <w:sdt>
        <w:sdtPr>
          <w:rPr>
            <w:rFonts w:asciiTheme="majorBidi" w:hAnsiTheme="majorBidi" w:cstheme="majorBidi"/>
            <w:sz w:val="24"/>
            <w:szCs w:val="24"/>
          </w:rPr>
          <w:id w:val="151804747"/>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Han24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(Hand &amp; Hooton,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She had to call Virgin Media several times to rectify the problem, but the billing errors continued, and the installation was never completed. Janet is seeking legal advice on her rights in this situation, specifically regarding the breach of contract, the delay in service, and the billing discrepancies.</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7" w:name="_Toc184841745"/>
      <w:r w:rsidRPr="00035CDA">
        <w:rPr>
          <w:rFonts w:asciiTheme="majorBidi" w:eastAsia="Times New Roman" w:hAnsiTheme="majorBidi"/>
          <w:color w:val="auto"/>
          <w:sz w:val="24"/>
          <w:szCs w:val="24"/>
        </w:rPr>
        <w:lastRenderedPageBreak/>
        <w:t>Relevant Legal Concepts</w:t>
      </w:r>
      <w:bookmarkEnd w:id="17"/>
    </w:p>
    <w:p w:rsidR="009600AD" w:rsidRPr="00035CDA" w:rsidRDefault="009600AD" w:rsidP="009600AD">
      <w:p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sz w:val="24"/>
          <w:szCs w:val="24"/>
        </w:rPr>
        <w:t xml:space="preserve">This case involves both </w:t>
      </w:r>
      <w:r w:rsidRPr="00035CDA">
        <w:rPr>
          <w:rFonts w:asciiTheme="majorBidi" w:eastAsia="Times New Roman" w:hAnsiTheme="majorBidi" w:cstheme="majorBidi"/>
          <w:b/>
          <w:bCs/>
          <w:sz w:val="24"/>
          <w:szCs w:val="24"/>
        </w:rPr>
        <w:t>contract law</w:t>
      </w:r>
      <w:r w:rsidRPr="00035CDA">
        <w:rPr>
          <w:rFonts w:asciiTheme="majorBidi" w:eastAsia="Times New Roman" w:hAnsiTheme="majorBidi" w:cstheme="majorBidi"/>
          <w:sz w:val="24"/>
          <w:szCs w:val="24"/>
        </w:rPr>
        <w:t xml:space="preserve"> and </w:t>
      </w:r>
      <w:r w:rsidRPr="00035CDA">
        <w:rPr>
          <w:rFonts w:asciiTheme="majorBidi" w:eastAsia="Times New Roman" w:hAnsiTheme="majorBidi" w:cstheme="majorBidi"/>
          <w:b/>
          <w:bCs/>
          <w:sz w:val="24"/>
          <w:szCs w:val="24"/>
        </w:rPr>
        <w:t>consumer protection law</w:t>
      </w:r>
      <w:r w:rsidRPr="00035CDA">
        <w:rPr>
          <w:rFonts w:asciiTheme="majorBidi" w:eastAsia="Times New Roman" w:hAnsiTheme="majorBidi" w:cstheme="majorBidi"/>
          <w:sz w:val="24"/>
          <w:szCs w:val="24"/>
        </w:rPr>
        <w:t>.</w:t>
      </w:r>
    </w:p>
    <w:p w:rsidR="009600AD" w:rsidRPr="00035CDA" w:rsidRDefault="009600AD" w:rsidP="009600AD">
      <w:pPr>
        <w:pStyle w:val="ListParagraph"/>
        <w:numPr>
          <w:ilvl w:val="0"/>
          <w:numId w:val="13"/>
        </w:num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1. Law of Contract (Terms of Agreement, Breach of Contract): The foundation of this dispute is based upon the terms of the agreement between Janet and Virgin Media. Breach of contract refers to one party's failure to observe the contractual commitments given to the other. In the given case, the failure of Virgin Media to provide the service within a specific time is a breach of contract </w:t>
      </w:r>
      <w:sdt>
        <w:sdtPr>
          <w:rPr>
            <w:rFonts w:asciiTheme="majorBidi" w:hAnsiTheme="majorBidi" w:cstheme="majorBidi"/>
            <w:sz w:val="24"/>
            <w:szCs w:val="24"/>
          </w:rPr>
          <w:id w:val="-1557844694"/>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Mit20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(Mitchell, 2020. )</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xml:space="preserve">. Failure to </w:t>
      </w:r>
      <w:proofErr w:type="spellStart"/>
      <w:r w:rsidRPr="00035CDA">
        <w:rPr>
          <w:rFonts w:asciiTheme="majorBidi" w:hAnsiTheme="majorBidi" w:cstheme="majorBidi"/>
          <w:sz w:val="24"/>
          <w:szCs w:val="24"/>
        </w:rPr>
        <w:t>instal</w:t>
      </w:r>
      <w:proofErr w:type="spellEnd"/>
      <w:r w:rsidRPr="00035CDA">
        <w:rPr>
          <w:rFonts w:asciiTheme="majorBidi" w:hAnsiTheme="majorBidi" w:cstheme="majorBidi"/>
          <w:sz w:val="24"/>
          <w:szCs w:val="24"/>
        </w:rPr>
        <w:t xml:space="preserve"> in such a way as stated within the contract permits Janet to seek remedies, which include termination of the contract, compensation, or even a claim for damages.</w:t>
      </w:r>
    </w:p>
    <w:p w:rsidR="009600AD" w:rsidRPr="00035CDA" w:rsidRDefault="009600AD" w:rsidP="001319B9">
      <w:pPr>
        <w:numPr>
          <w:ilvl w:val="0"/>
          <w:numId w:val="13"/>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Consumer Protection Law (Goods and Services, Delays, Improper Billing)</w:t>
      </w:r>
      <w:r w:rsidRPr="00035CDA">
        <w:rPr>
          <w:rFonts w:asciiTheme="majorBidi" w:eastAsia="Times New Roman" w:hAnsiTheme="majorBidi" w:cstheme="majorBidi"/>
          <w:sz w:val="24"/>
          <w:szCs w:val="24"/>
        </w:rPr>
        <w:t xml:space="preserve">: </w:t>
      </w:r>
      <w:r w:rsidRPr="00035CDA">
        <w:rPr>
          <w:rFonts w:asciiTheme="majorBidi" w:hAnsiTheme="majorBidi" w:cstheme="majorBidi"/>
          <w:sz w:val="24"/>
          <w:szCs w:val="24"/>
        </w:rPr>
        <w:t xml:space="preserve">The consumer protection law provides that services must be carried out with reasonable care and skill and within a reasonable time under the Consumer Rights Act 2015 regarding goods and services, delays, and improper billing. </w:t>
      </w:r>
      <w:proofErr w:type="spellStart"/>
      <w:r w:rsidRPr="00035CDA">
        <w:rPr>
          <w:rFonts w:asciiTheme="majorBidi" w:hAnsiTheme="majorBidi" w:cstheme="majorBidi"/>
          <w:sz w:val="24"/>
          <w:szCs w:val="24"/>
        </w:rPr>
        <w:t>Janeth</w:t>
      </w:r>
      <w:proofErr w:type="spellEnd"/>
      <w:r w:rsidRPr="00035CDA">
        <w:rPr>
          <w:rFonts w:asciiTheme="majorBidi" w:hAnsiTheme="majorBidi" w:cstheme="majorBidi"/>
          <w:sz w:val="24"/>
          <w:szCs w:val="24"/>
        </w:rPr>
        <w:t xml:space="preserve"> had every reason to believe that Virgin Media complete the installation as soon as possible and provide the services agreed upon. Additionally, wrong billing i</w:t>
      </w:r>
      <w:bookmarkStart w:id="18" w:name="_GoBack"/>
      <w:bookmarkEnd w:id="18"/>
      <w:r w:rsidRPr="00035CDA">
        <w:rPr>
          <w:rFonts w:asciiTheme="majorBidi" w:hAnsiTheme="majorBidi" w:cstheme="majorBidi"/>
          <w:sz w:val="24"/>
          <w:szCs w:val="24"/>
        </w:rPr>
        <w:t xml:space="preserve">s a contravention of the laws protecting consumers </w:t>
      </w:r>
      <w:sdt>
        <w:sdtPr>
          <w:rPr>
            <w:rFonts w:asciiTheme="majorBidi" w:hAnsiTheme="majorBidi" w:cstheme="majorBidi"/>
            <w:sz w:val="24"/>
            <w:szCs w:val="24"/>
          </w:rPr>
          <w:id w:val="109630244"/>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Web21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(Weber-Lewerenz, 2021)</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She claimed the damage due to the hassle and inconvenience caused by Virgin Media's nonperformance of service that she had paid for.</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19" w:name="_Toc184841746"/>
      <w:r w:rsidRPr="00035CDA">
        <w:rPr>
          <w:rFonts w:asciiTheme="majorBidi" w:eastAsia="Times New Roman" w:hAnsiTheme="majorBidi"/>
          <w:color w:val="auto"/>
          <w:sz w:val="24"/>
          <w:szCs w:val="24"/>
        </w:rPr>
        <w:t>Legal Analysis and Solutions</w:t>
      </w:r>
      <w:bookmarkEnd w:id="19"/>
    </w:p>
    <w:p w:rsidR="009600AD" w:rsidRPr="00035CDA" w:rsidRDefault="009600AD" w:rsidP="009600AD">
      <w:pPr>
        <w:numPr>
          <w:ilvl w:val="0"/>
          <w:numId w:val="14"/>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Virgin Media’s Liability for Failing to Complete the Service on Time</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Virgin Media is liable for a breach of contract due to the installation not being completed on time. The contract must have specified the time of delivery of the service, and not fulfilling these terms without a good reason will mean that Virgin Media has breached its conditions. Janet is entitled to a refund, a discount on the service, or even the right to terminate the contract without penalty </w:t>
      </w:r>
      <w:sdt>
        <w:sdtPr>
          <w:rPr>
            <w:rFonts w:asciiTheme="majorBidi" w:hAnsiTheme="majorBidi" w:cstheme="majorBidi"/>
            <w:sz w:val="24"/>
            <w:szCs w:val="24"/>
          </w:rPr>
          <w:id w:val="1951655646"/>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Wan20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(Wang, et al., 2020)</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xml:space="preserve">. Moreover, Virgin Media's failure to </w:t>
      </w:r>
      <w:proofErr w:type="spellStart"/>
      <w:r w:rsidRPr="00035CDA">
        <w:rPr>
          <w:rFonts w:asciiTheme="majorBidi" w:hAnsiTheme="majorBidi" w:cstheme="majorBidi"/>
          <w:sz w:val="24"/>
          <w:szCs w:val="24"/>
        </w:rPr>
        <w:t>fulfil</w:t>
      </w:r>
      <w:proofErr w:type="spellEnd"/>
      <w:r w:rsidRPr="00035CDA">
        <w:rPr>
          <w:rFonts w:asciiTheme="majorBidi" w:hAnsiTheme="majorBidi" w:cstheme="majorBidi"/>
          <w:sz w:val="24"/>
          <w:szCs w:val="24"/>
        </w:rPr>
        <w:t xml:space="preserve"> its contractual obligations causes Janet inconvenience that results in a loss, such as loss of productivity or costs related to seeking other services. She claims these losses under contract law. If Virgin Media cannot </w:t>
      </w:r>
      <w:r w:rsidRPr="00035CDA">
        <w:rPr>
          <w:rFonts w:asciiTheme="majorBidi" w:hAnsiTheme="majorBidi" w:cstheme="majorBidi"/>
          <w:sz w:val="24"/>
          <w:szCs w:val="24"/>
        </w:rPr>
        <w:lastRenderedPageBreak/>
        <w:t>provide a valid reason for the delay, such as force majeure, Janet pursues a claim for damages due to the breach.</w:t>
      </w:r>
    </w:p>
    <w:p w:rsidR="009600AD" w:rsidRPr="00035CDA" w:rsidRDefault="009600AD" w:rsidP="009600AD">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Janet’s Rights to Compensation or Rectification of the Billing Error</w:t>
      </w:r>
    </w:p>
    <w:p w:rsidR="009600AD" w:rsidRPr="00035CDA" w:rsidRDefault="009600AD" w:rsidP="009600AD">
      <w:pPr>
        <w:spacing w:before="100" w:beforeAutospacing="1" w:after="100" w:afterAutospacing="1" w:line="360" w:lineRule="auto"/>
        <w:jc w:val="both"/>
        <w:rPr>
          <w:rFonts w:asciiTheme="majorBidi" w:hAnsiTheme="majorBidi" w:cstheme="majorBidi"/>
          <w:sz w:val="24"/>
          <w:szCs w:val="24"/>
        </w:rPr>
      </w:pPr>
      <w:r w:rsidRPr="00035CDA">
        <w:rPr>
          <w:rFonts w:asciiTheme="majorBidi" w:hAnsiTheme="majorBidi" w:cstheme="majorBidi"/>
          <w:sz w:val="24"/>
          <w:szCs w:val="24"/>
        </w:rPr>
        <w:t>Under consumer protection law, Janet can be billed relatively and precisely. Since she was not afforded the service that was agreed upon, she is not required to pay for it. Improper billing also damages the provisions of the Consumer Rights Act 2015 for correct billing and for billing only the provided services.</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0" w:name="_Toc184841747"/>
      <w:r w:rsidRPr="00035CDA">
        <w:rPr>
          <w:rFonts w:asciiTheme="majorBidi" w:eastAsia="Times New Roman" w:hAnsiTheme="majorBidi"/>
          <w:color w:val="auto"/>
          <w:sz w:val="24"/>
          <w:szCs w:val="24"/>
        </w:rPr>
        <w:t>Recommendations</w:t>
      </w:r>
      <w:bookmarkEnd w:id="20"/>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Janet is also entitled to have these charges reversed, in which she gets her money refunded for amounts paid in excess of what should have been owed </w:t>
      </w:r>
      <w:sdt>
        <w:sdtPr>
          <w:rPr>
            <w:rFonts w:asciiTheme="majorBidi" w:hAnsiTheme="majorBidi" w:cstheme="majorBidi"/>
            <w:sz w:val="24"/>
            <w:szCs w:val="24"/>
          </w:rPr>
          <w:id w:val="961692484"/>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Leg24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((Legislation.gov.uk.,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First and foremost, Janet should write to Virgin Media formally to file a complaint about the breach of contract and billing issues. Everything should be in writing, with dates and times, summarizing the issues raised and requesting a full investigation and resolution.</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Suppose Virgin Media does not come up with a satisfying solution. In that case, Janet should address this issue by filing a formal complaint with the relevant regulatory bodies, such as the Consumer Ombudsman or Communication and Internet Services Ombudsman. Such organizations can help resolve disputes between consumers and service providers </w:t>
      </w:r>
      <w:sdt>
        <w:sdtPr>
          <w:rPr>
            <w:rFonts w:asciiTheme="majorBidi" w:hAnsiTheme="majorBidi" w:cstheme="majorBidi"/>
            <w:sz w:val="24"/>
            <w:szCs w:val="24"/>
          </w:rPr>
          <w:id w:val="-432439669"/>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Wir24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(Wirba,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Alternatively, Janet wishes to advance a claim for breach of contract and incorrect billing. Depending on the degree of her financial loss or inconvenience sustained, she seeks legal remedies such as compensation for the damages she incurred due to the delayed installation and continued billing error.</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 Janet prefers a non-adversarial approach, but she considers ADR, including mediation or negotiation. ADR allows the parties to resolve a dispute without going to court, which can be costly and time-consuming. Mediation entails the services of a neutral third-party mediator to facilitate communication between Janet and Virgin Media to reach a mutually acceptable resolution </w:t>
      </w:r>
      <w:sdt>
        <w:sdtPr>
          <w:rPr>
            <w:rFonts w:asciiTheme="majorBidi" w:hAnsiTheme="majorBidi" w:cstheme="majorBidi"/>
            <w:sz w:val="24"/>
            <w:szCs w:val="24"/>
          </w:rPr>
          <w:id w:val="-181046819"/>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Bal22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(Baldini, et al., 2022)</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Negotiation entails direct communication between Janet and the company to agree upon a fair solution, such as a charge reduction or a new installation date.</w:t>
      </w:r>
    </w:p>
    <w:p w:rsidR="009600AD" w:rsidRPr="00035CDA" w:rsidRDefault="009600AD" w:rsidP="009600AD">
      <w:pPr>
        <w:spacing w:before="100" w:beforeAutospacing="1" w:after="100" w:afterAutospacing="1" w:line="360" w:lineRule="auto"/>
        <w:jc w:val="both"/>
        <w:rPr>
          <w:rFonts w:asciiTheme="majorBidi" w:eastAsia="Times New Roman" w:hAnsiTheme="majorBidi" w:cstheme="majorBidi"/>
          <w:sz w:val="24"/>
          <w:szCs w:val="24"/>
        </w:rPr>
      </w:pPr>
    </w:p>
    <w:p w:rsidR="009600AD" w:rsidRPr="00613DEF" w:rsidRDefault="009600AD" w:rsidP="009600AD">
      <w:pPr>
        <w:pStyle w:val="Heading1"/>
        <w:spacing w:line="360" w:lineRule="auto"/>
        <w:jc w:val="both"/>
        <w:rPr>
          <w:rFonts w:asciiTheme="majorBidi" w:eastAsia="Times New Roman" w:hAnsiTheme="majorBidi"/>
          <w:b/>
          <w:bCs/>
          <w:color w:val="auto"/>
          <w:sz w:val="24"/>
          <w:szCs w:val="24"/>
        </w:rPr>
      </w:pPr>
      <w:bookmarkStart w:id="21" w:name="_Toc184841748"/>
      <w:r w:rsidRPr="00613DEF">
        <w:rPr>
          <w:rFonts w:asciiTheme="majorBidi" w:eastAsia="Times New Roman" w:hAnsiTheme="majorBidi"/>
          <w:b/>
          <w:bCs/>
          <w:color w:val="auto"/>
          <w:sz w:val="24"/>
          <w:szCs w:val="24"/>
        </w:rPr>
        <w:lastRenderedPageBreak/>
        <w:t xml:space="preserve">Case Scenario 3: Blackhorse Limited’s Financial Issues and Winding </w:t>
      </w:r>
      <w:proofErr w:type="gramStart"/>
      <w:r w:rsidRPr="00613DEF">
        <w:rPr>
          <w:rFonts w:asciiTheme="majorBidi" w:eastAsia="Times New Roman" w:hAnsiTheme="majorBidi"/>
          <w:b/>
          <w:bCs/>
          <w:color w:val="auto"/>
          <w:sz w:val="24"/>
          <w:szCs w:val="24"/>
        </w:rPr>
        <w:t>Up</w:t>
      </w:r>
      <w:proofErr w:type="gramEnd"/>
      <w:r w:rsidRPr="00613DEF">
        <w:rPr>
          <w:rFonts w:asciiTheme="majorBidi" w:eastAsia="Times New Roman" w:hAnsiTheme="majorBidi"/>
          <w:b/>
          <w:bCs/>
          <w:color w:val="auto"/>
          <w:sz w:val="24"/>
          <w:szCs w:val="24"/>
        </w:rPr>
        <w:t xml:space="preserve"> Petition</w:t>
      </w:r>
      <w:bookmarkEnd w:id="21"/>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2" w:name="_Toc184841749"/>
      <w:r w:rsidRPr="00035CDA">
        <w:rPr>
          <w:rFonts w:asciiTheme="majorBidi" w:eastAsia="Times New Roman" w:hAnsiTheme="majorBidi"/>
          <w:color w:val="auto"/>
          <w:sz w:val="24"/>
          <w:szCs w:val="24"/>
        </w:rPr>
        <w:t>Case Summary</w:t>
      </w:r>
      <w:bookmarkEnd w:id="22"/>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Bad debt has mounted, and Blackhorse Limited is experiencing extreme financial distress. The financial obligations have not been met, and one creditor has resorted to petitioning for winding up </w:t>
      </w:r>
      <w:proofErr w:type="gramStart"/>
      <w:r w:rsidRPr="00035CDA">
        <w:rPr>
          <w:rFonts w:asciiTheme="majorBidi" w:hAnsiTheme="majorBidi" w:cstheme="majorBidi"/>
          <w:sz w:val="24"/>
          <w:szCs w:val="24"/>
        </w:rPr>
        <w:t>to try</w:t>
      </w:r>
      <w:proofErr w:type="gramEnd"/>
      <w:r w:rsidRPr="00035CDA">
        <w:rPr>
          <w:rFonts w:asciiTheme="majorBidi" w:hAnsiTheme="majorBidi" w:cstheme="majorBidi"/>
          <w:sz w:val="24"/>
          <w:szCs w:val="24"/>
        </w:rPr>
        <w:t xml:space="preserve"> to get the outstanding debt. A petition for winding up led to the liquidation of the company's assets, with other creditors probably receiving little or nothing </w:t>
      </w:r>
      <w:sdt>
        <w:sdtPr>
          <w:rPr>
            <w:rFonts w:asciiTheme="majorBidi" w:hAnsiTheme="majorBidi" w:cstheme="majorBidi"/>
            <w:sz w:val="24"/>
            <w:szCs w:val="24"/>
          </w:rPr>
          <w:id w:val="-842403225"/>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Bal22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(Baldini, et al., 2022)</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Blackhorse Limited is seeking legal advice on its options to avoid compulsory liquidation and determine if it can reach a settlement or restructure its debts to preserve the business.</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3" w:name="_Toc184841750"/>
      <w:r w:rsidRPr="00035CDA">
        <w:rPr>
          <w:rFonts w:asciiTheme="majorBidi" w:eastAsia="Times New Roman" w:hAnsiTheme="majorBidi"/>
          <w:color w:val="auto"/>
          <w:sz w:val="24"/>
          <w:szCs w:val="24"/>
        </w:rPr>
        <w:t>Relevant Legal Concepts</w:t>
      </w:r>
      <w:bookmarkEnd w:id="23"/>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This matter involves key company and insolvency law principles. </w:t>
      </w:r>
    </w:p>
    <w:p w:rsidR="009600AD" w:rsidRPr="00035CDA" w:rsidRDefault="009600AD" w:rsidP="009600AD">
      <w:pPr>
        <w:numPr>
          <w:ilvl w:val="0"/>
          <w:numId w:val="19"/>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 xml:space="preserve">Company Law (Insolvency, Winding </w:t>
      </w:r>
      <w:proofErr w:type="gramStart"/>
      <w:r w:rsidRPr="00035CDA">
        <w:rPr>
          <w:rFonts w:asciiTheme="majorBidi" w:eastAsia="Times New Roman" w:hAnsiTheme="majorBidi" w:cstheme="majorBidi"/>
          <w:b/>
          <w:bCs/>
          <w:sz w:val="24"/>
          <w:szCs w:val="24"/>
        </w:rPr>
        <w:t>Up</w:t>
      </w:r>
      <w:proofErr w:type="gramEnd"/>
      <w:r w:rsidRPr="00035CDA">
        <w:rPr>
          <w:rFonts w:asciiTheme="majorBidi" w:eastAsia="Times New Roman" w:hAnsiTheme="majorBidi" w:cstheme="majorBidi"/>
          <w:b/>
          <w:bCs/>
          <w:sz w:val="24"/>
          <w:szCs w:val="24"/>
        </w:rPr>
        <w:t xml:space="preserve"> Petition, Creditor Rights)</w:t>
      </w:r>
      <w:r w:rsidRPr="00035CDA">
        <w:rPr>
          <w:rFonts w:asciiTheme="majorBidi" w:eastAsia="Times New Roman" w:hAnsiTheme="majorBidi" w:cstheme="majorBidi"/>
          <w:sz w:val="24"/>
          <w:szCs w:val="24"/>
        </w:rPr>
        <w:t xml:space="preserve">: </w:t>
      </w:r>
      <w:r w:rsidRPr="00035CDA">
        <w:rPr>
          <w:rFonts w:asciiTheme="majorBidi" w:hAnsiTheme="majorBidi" w:cstheme="majorBidi"/>
          <w:sz w:val="24"/>
          <w:szCs w:val="24"/>
        </w:rPr>
        <w:t xml:space="preserve">A winding-up petition is a legal process in which a creditor applies to the court for liquidating an inability-to-pay company. According to the Insolvency Act 1986, a company can be wound up compulsorily if it cannot pay its debts and has become insolvent </w:t>
      </w:r>
      <w:sdt>
        <w:sdtPr>
          <w:rPr>
            <w:rFonts w:asciiTheme="majorBidi" w:hAnsiTheme="majorBidi" w:cstheme="majorBidi"/>
            <w:sz w:val="24"/>
            <w:szCs w:val="24"/>
          </w:rPr>
          <w:id w:val="956296699"/>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Leg24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((Legislation.gov.uk.,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In this case, Blackhorse Limited faces a winding-up petition due to its unpaid debts. The creditor, seeking to initiate the winding-up process, has the legal right to file the petition if the company owes a sum exceeding £750 and has failed to pay the debt after a statutory demand.</w:t>
      </w:r>
    </w:p>
    <w:p w:rsidR="009600AD" w:rsidRPr="00035CDA" w:rsidRDefault="009600AD" w:rsidP="009600AD">
      <w:pPr>
        <w:numPr>
          <w:ilvl w:val="0"/>
          <w:numId w:val="19"/>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Insolvency Laws (Company Liquidation, Debt Restructuring)</w:t>
      </w:r>
      <w:r w:rsidRPr="00035CDA">
        <w:rPr>
          <w:rFonts w:asciiTheme="majorBidi" w:eastAsia="Times New Roman" w:hAnsiTheme="majorBidi" w:cstheme="majorBidi"/>
          <w:sz w:val="24"/>
          <w:szCs w:val="24"/>
        </w:rPr>
        <w:t xml:space="preserve">: </w:t>
      </w:r>
      <w:r w:rsidRPr="00035CDA">
        <w:rPr>
          <w:rFonts w:asciiTheme="majorBidi" w:hAnsiTheme="majorBidi" w:cstheme="majorBidi"/>
          <w:sz w:val="24"/>
          <w:szCs w:val="24"/>
        </w:rPr>
        <w:t xml:space="preserve">Company Liquidation and Debt Restructuring </w:t>
      </w:r>
      <w:proofErr w:type="gramStart"/>
      <w:r w:rsidRPr="00035CDA">
        <w:rPr>
          <w:rFonts w:asciiTheme="majorBidi" w:hAnsiTheme="majorBidi" w:cstheme="majorBidi"/>
          <w:sz w:val="24"/>
          <w:szCs w:val="24"/>
        </w:rPr>
        <w:t>refers</w:t>
      </w:r>
      <w:proofErr w:type="gramEnd"/>
      <w:r w:rsidRPr="00035CDA">
        <w:rPr>
          <w:rFonts w:asciiTheme="majorBidi" w:hAnsiTheme="majorBidi" w:cstheme="majorBidi"/>
          <w:sz w:val="24"/>
          <w:szCs w:val="24"/>
        </w:rPr>
        <w:t xml:space="preserve"> to the formal process of liquidating a company's assets to meet its creditors. In this regard, a company must restructure debts or enter into voluntary arrangements with creditors before such a stage is reached </w:t>
      </w:r>
      <w:sdt>
        <w:sdtPr>
          <w:rPr>
            <w:rFonts w:asciiTheme="majorBidi" w:hAnsiTheme="majorBidi" w:cstheme="majorBidi"/>
            <w:sz w:val="24"/>
            <w:szCs w:val="24"/>
          </w:rPr>
          <w:id w:val="-1512453031"/>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Bal22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(Baldini, et al., 2022)</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These legal tools allow the company to reorganize its finances and pay its debts over time, averting liquidation and continuing its operations.</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4" w:name="_Toc184841751"/>
      <w:r w:rsidRPr="00035CDA">
        <w:rPr>
          <w:rFonts w:asciiTheme="majorBidi" w:eastAsia="Times New Roman" w:hAnsiTheme="majorBidi"/>
          <w:color w:val="auto"/>
          <w:sz w:val="24"/>
          <w:szCs w:val="24"/>
        </w:rPr>
        <w:t>Legal Analysis and Solutions</w:t>
      </w:r>
      <w:bookmarkEnd w:id="24"/>
    </w:p>
    <w:p w:rsidR="009600AD" w:rsidRPr="00035CDA" w:rsidRDefault="009600AD" w:rsidP="009600AD">
      <w:pPr>
        <w:numPr>
          <w:ilvl w:val="0"/>
          <w:numId w:val="20"/>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Legal Options to Avoid Winding Up</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lastRenderedPageBreak/>
        <w:t xml:space="preserve">Depending on the specifics of Blackhorse Limited's financial predicament, the company pursues several legal avenues to avoid compulsory winding up. The company negotiates a settlement with its creditors or enters into a CVA. A CVA is a legal agreement between a company and its creditors whereby a company pays its debts, usually in </w:t>
      </w:r>
      <w:proofErr w:type="spellStart"/>
      <w:r w:rsidRPr="00035CDA">
        <w:rPr>
          <w:rFonts w:asciiTheme="majorBidi" w:hAnsiTheme="majorBidi" w:cstheme="majorBidi"/>
          <w:sz w:val="24"/>
          <w:szCs w:val="24"/>
        </w:rPr>
        <w:t>instalments</w:t>
      </w:r>
      <w:proofErr w:type="spellEnd"/>
      <w:r w:rsidRPr="00035CDA">
        <w:rPr>
          <w:rFonts w:asciiTheme="majorBidi" w:hAnsiTheme="majorBidi" w:cstheme="majorBidi"/>
          <w:sz w:val="24"/>
          <w:szCs w:val="24"/>
        </w:rPr>
        <w:t xml:space="preserve">, over some time </w:t>
      </w:r>
      <w:sdt>
        <w:sdtPr>
          <w:rPr>
            <w:rFonts w:asciiTheme="majorBidi" w:hAnsiTheme="majorBidi" w:cstheme="majorBidi"/>
            <w:sz w:val="24"/>
            <w:szCs w:val="24"/>
          </w:rPr>
          <w:id w:val="-2088065089"/>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Wha24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([online], (2024). )</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This can help prevent creditors from going to the courts for winding-up action while the company is recovering financially.</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Another option is to seek debt restructuring through a formal process. Debt restructuring enables the company to reorganize its financial obligations, often by reducing the total debt owed or extending the repayment timeline. This assists the company in regaining its liquidity and avoiding liquidation </w:t>
      </w:r>
      <w:sdt>
        <w:sdtPr>
          <w:rPr>
            <w:rFonts w:asciiTheme="majorBidi" w:hAnsiTheme="majorBidi" w:cstheme="majorBidi"/>
            <w:sz w:val="24"/>
            <w:szCs w:val="24"/>
          </w:rPr>
          <w:id w:val="486597257"/>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Gil24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(Gilson,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Another alternative open to Blackhorse Limited is an informal agreement with the creditors to offer partial payments or a delayed payment plan in consideration of a stay of the winding-up petition.</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The company can also consider filing for administration if it cannot mutually agree with its creditors. Administration is a formal procedure in which an independent administrator takes over the company's running. The role of an administrator is to preserve the company as a going concern, restructure its operations, and negotiate with creditors in settling debts </w:t>
      </w:r>
      <w:sdt>
        <w:sdtPr>
          <w:rPr>
            <w:rFonts w:asciiTheme="majorBidi" w:hAnsiTheme="majorBidi" w:cstheme="majorBidi"/>
            <w:sz w:val="24"/>
            <w:szCs w:val="24"/>
          </w:rPr>
          <w:id w:val="-1594851553"/>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Lei21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(Leider, 2021)</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xml:space="preserve">. If successful, administration prevents the company from being liquidated. </w:t>
      </w:r>
    </w:p>
    <w:p w:rsidR="009600AD" w:rsidRPr="00035CDA" w:rsidRDefault="009600AD" w:rsidP="009600AD">
      <w:pPr>
        <w:numPr>
          <w:ilvl w:val="0"/>
          <w:numId w:val="21"/>
        </w:numPr>
        <w:spacing w:before="100" w:beforeAutospacing="1" w:after="100" w:afterAutospacing="1" w:line="360" w:lineRule="auto"/>
        <w:jc w:val="both"/>
        <w:rPr>
          <w:rFonts w:asciiTheme="majorBidi" w:eastAsia="Times New Roman" w:hAnsiTheme="majorBidi" w:cstheme="majorBidi"/>
          <w:sz w:val="24"/>
          <w:szCs w:val="24"/>
        </w:rPr>
      </w:pPr>
      <w:r w:rsidRPr="00035CDA">
        <w:rPr>
          <w:rFonts w:asciiTheme="majorBidi" w:eastAsia="Times New Roman" w:hAnsiTheme="majorBidi" w:cstheme="majorBidi"/>
          <w:b/>
          <w:bCs/>
          <w:sz w:val="24"/>
          <w:szCs w:val="24"/>
        </w:rPr>
        <w:t>Settlement or Debt Restructuring to Avoid Liquidation</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Blackhorse Limited attempts to reach a settlement with its creditors, whereby it agrees to pay part of the indebtedness to the creditor provided the creditor withdraws the winding-up petition. This offers a practical solution in circumstances where a company has temporary liquidity problems while maintaining long-term viability </w:t>
      </w:r>
      <w:sdt>
        <w:sdtPr>
          <w:rPr>
            <w:rFonts w:asciiTheme="majorBidi" w:hAnsiTheme="majorBidi" w:cstheme="majorBidi"/>
            <w:sz w:val="24"/>
            <w:szCs w:val="24"/>
          </w:rPr>
          <w:id w:val="384841890"/>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Gei20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(Geistfeld, 2020)</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However, the willingness of creditors to accept a partial settlement will depend on the value of the company’s assets and its ability to continue operations.</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Alternatively, the company can explore debt restructuring, which is often a more formal and structured approach. Debt restructuring involves renegotiating the terms of the company's existing debt agreements, such as reducing the amount owed, extending the repayment period, or converting debt into equity </w:t>
      </w:r>
      <w:sdt>
        <w:sdtPr>
          <w:rPr>
            <w:rFonts w:asciiTheme="majorBidi" w:hAnsiTheme="majorBidi" w:cstheme="majorBidi"/>
            <w:sz w:val="24"/>
            <w:szCs w:val="24"/>
          </w:rPr>
          <w:id w:val="-472051554"/>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Gri20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(Griffin, 2020)</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 This solution can provide breathing room for Blackhorse Limited to improve its financial position and avoid liquidation.</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5" w:name="_Toc184841752"/>
      <w:r w:rsidRPr="00035CDA">
        <w:rPr>
          <w:rFonts w:asciiTheme="majorBidi" w:eastAsia="Times New Roman" w:hAnsiTheme="majorBidi"/>
          <w:color w:val="auto"/>
          <w:sz w:val="24"/>
          <w:szCs w:val="24"/>
        </w:rPr>
        <w:lastRenderedPageBreak/>
        <w:t>Recommendations</w:t>
      </w:r>
      <w:bookmarkEnd w:id="25"/>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The Company, Blackhorse Limited, should first try to negotiate with its creditors and explore the possibility of a Company Voluntary Arrangement (CVA). A CVA provides a structured way for the company to pay its debts over time while still in control of its operations. This also prevents creditors from further legal action, such as a petition for winding up.</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If the CVA is not feasible, Blackhorse Limited must consider either restructuring debt or entering into an informal agreement with creditors. In such a case, the company has to present the creditors with a comprehensive financial plan for recovering and meeting its obligations. The company should consider going into administration as the last resort. While administration offers protection against creditors and prevents immediate liquidation, there is a risk that the business loses control of an external administrator.</w:t>
      </w:r>
    </w:p>
    <w:p w:rsidR="009600AD" w:rsidRPr="00035CDA" w:rsidRDefault="009600AD" w:rsidP="009600AD">
      <w:pPr>
        <w:pStyle w:val="Heading1"/>
        <w:spacing w:line="360" w:lineRule="auto"/>
        <w:jc w:val="both"/>
        <w:rPr>
          <w:rFonts w:asciiTheme="majorBidi" w:eastAsia="Times New Roman" w:hAnsiTheme="majorBidi"/>
          <w:color w:val="auto"/>
          <w:sz w:val="24"/>
          <w:szCs w:val="24"/>
        </w:rPr>
      </w:pPr>
      <w:bookmarkStart w:id="26" w:name="_Toc184841753"/>
      <w:r w:rsidRPr="00035CDA">
        <w:rPr>
          <w:rFonts w:asciiTheme="majorBidi" w:eastAsia="Times New Roman" w:hAnsiTheme="majorBidi"/>
          <w:color w:val="auto"/>
          <w:sz w:val="24"/>
          <w:szCs w:val="24"/>
        </w:rPr>
        <w:t>Comparative Analysis of Legal Solutions</w:t>
      </w:r>
      <w:bookmarkEnd w:id="26"/>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7" w:name="_Toc184841754"/>
      <w:r w:rsidRPr="00035CDA">
        <w:rPr>
          <w:rFonts w:asciiTheme="majorBidi" w:eastAsia="Times New Roman" w:hAnsiTheme="majorBidi"/>
          <w:color w:val="auto"/>
          <w:sz w:val="24"/>
          <w:szCs w:val="24"/>
        </w:rPr>
        <w:t>Effectiveness of Legal Solutions</w:t>
      </w:r>
      <w:bookmarkEnd w:id="27"/>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The legal solutions proposed for the three cases address the specific issues the parties involved face and focus on ensuring justice while maintaining compliance with relevant laws.</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Case 1: Gordon Gordon's employment dispute is where the advice to claim wages as per employment law provides a gateway to solving his claims quite clearly. Again, emphasis on contractual necessities and mutual consideration ensures that his rights are protected from being violated and that the employers' working financial stability does not disrupt them. The legal solutions balance individual subjective entitlements and the practical realities of doing business </w:t>
      </w:r>
      <w:sdt>
        <w:sdtPr>
          <w:rPr>
            <w:rFonts w:asciiTheme="majorBidi" w:hAnsiTheme="majorBidi" w:cstheme="majorBidi"/>
            <w:sz w:val="24"/>
            <w:szCs w:val="24"/>
          </w:rPr>
          <w:id w:val="-970133827"/>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All23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(Allioui, 2023)</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In Case 2, the dispute over Virgin Media, wherein Janet claims breach of contract and compensation under the consumer protection laws, effectively upholds her rights against those of the service provider regarding </w:t>
      </w:r>
      <w:proofErr w:type="spellStart"/>
      <w:r w:rsidRPr="00035CDA">
        <w:rPr>
          <w:rFonts w:asciiTheme="majorBidi" w:hAnsiTheme="majorBidi" w:cstheme="majorBidi"/>
          <w:sz w:val="24"/>
          <w:szCs w:val="24"/>
        </w:rPr>
        <w:t>misbilling</w:t>
      </w:r>
      <w:proofErr w:type="spellEnd"/>
      <w:r w:rsidRPr="00035CDA">
        <w:rPr>
          <w:rFonts w:asciiTheme="majorBidi" w:hAnsiTheme="majorBidi" w:cstheme="majorBidi"/>
          <w:sz w:val="24"/>
          <w:szCs w:val="24"/>
        </w:rPr>
        <w:t>, establishing an equitable consumer-business relationship. Further, the availability of any ADR mechanisms, like mediation, promotes effective and amicable resolution.</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In Case </w:t>
      </w:r>
      <w:proofErr w:type="gramStart"/>
      <w:r w:rsidRPr="00035CDA">
        <w:rPr>
          <w:rFonts w:asciiTheme="majorBidi" w:hAnsiTheme="majorBidi" w:cstheme="majorBidi"/>
          <w:sz w:val="24"/>
          <w:szCs w:val="24"/>
        </w:rPr>
        <w:t>3,</w:t>
      </w:r>
      <w:proofErr w:type="gramEnd"/>
      <w:r w:rsidRPr="00035CDA">
        <w:rPr>
          <w:rFonts w:asciiTheme="majorBidi" w:hAnsiTheme="majorBidi" w:cstheme="majorBidi"/>
          <w:sz w:val="24"/>
          <w:szCs w:val="24"/>
        </w:rPr>
        <w:t xml:space="preserve"> related to Blackhorse Limited's financial distress, the practical and feasible solutions are debt restructuring, Company Voluntary Arrangement, or administration. With such </w:t>
      </w:r>
      <w:r w:rsidRPr="00035CDA">
        <w:rPr>
          <w:rFonts w:asciiTheme="majorBidi" w:hAnsiTheme="majorBidi" w:cstheme="majorBidi"/>
          <w:sz w:val="24"/>
          <w:szCs w:val="24"/>
        </w:rPr>
        <w:lastRenderedPageBreak/>
        <w:t>approaches, the company has the opportunity to regain finances without losing the confidence of the creditors and also minimizes asset liquidation with equity repayment of debts.</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8" w:name="_Toc184841755"/>
      <w:r w:rsidRPr="00035CDA">
        <w:rPr>
          <w:rFonts w:asciiTheme="majorBidi" w:eastAsia="Times New Roman" w:hAnsiTheme="majorBidi"/>
          <w:color w:val="auto"/>
          <w:sz w:val="24"/>
          <w:szCs w:val="24"/>
        </w:rPr>
        <w:t>Comparison with Alternative Legal Advice</w:t>
      </w:r>
      <w:bookmarkEnd w:id="28"/>
    </w:p>
    <w:p w:rsidR="009600AD" w:rsidRPr="00035CDA" w:rsidRDefault="009600AD" w:rsidP="009600AD">
      <w:pPr>
        <w:spacing w:line="360" w:lineRule="auto"/>
        <w:jc w:val="both"/>
        <w:rPr>
          <w:rFonts w:asciiTheme="majorBidi" w:hAnsiTheme="majorBidi" w:cstheme="majorBidi"/>
          <w:sz w:val="24"/>
          <w:szCs w:val="24"/>
        </w:rPr>
      </w:pPr>
      <w:proofErr w:type="gramStart"/>
      <w:r w:rsidRPr="00035CDA">
        <w:rPr>
          <w:rFonts w:asciiTheme="majorBidi" w:hAnsiTheme="majorBidi" w:cstheme="majorBidi"/>
          <w:sz w:val="24"/>
          <w:szCs w:val="24"/>
        </w:rPr>
        <w:t xml:space="preserve">Alternative dispute resolution (ADR) methods, including mediation, arbitration, and negotiation, provide complementary approaches that resolve issues more amicably and cost-effectively than litigation </w:t>
      </w:r>
      <w:sdt>
        <w:sdtPr>
          <w:rPr>
            <w:rFonts w:asciiTheme="majorBidi" w:hAnsiTheme="majorBidi" w:cstheme="majorBidi"/>
            <w:sz w:val="24"/>
            <w:szCs w:val="24"/>
          </w:rPr>
          <w:id w:val="1066301161"/>
          <w:citation/>
        </w:sdtPr>
        <w:sdtContent>
          <w:r w:rsidRPr="00035CDA">
            <w:rPr>
              <w:rFonts w:asciiTheme="majorBidi" w:hAnsiTheme="majorBidi" w:cstheme="majorBidi"/>
              <w:sz w:val="24"/>
              <w:szCs w:val="24"/>
            </w:rPr>
            <w:fldChar w:fldCharType="begin"/>
          </w:r>
          <w:r w:rsidRPr="00035CDA">
            <w:rPr>
              <w:rFonts w:asciiTheme="majorBidi" w:hAnsiTheme="majorBidi" w:cstheme="majorBidi"/>
              <w:sz w:val="24"/>
              <w:szCs w:val="24"/>
            </w:rPr>
            <w:instrText xml:space="preserve"> CITATION DeC24 \l 1033 </w:instrText>
          </w:r>
          <w:r w:rsidRPr="00035CDA">
            <w:rPr>
              <w:rFonts w:asciiTheme="majorBidi" w:hAnsiTheme="majorBidi" w:cstheme="majorBidi"/>
              <w:sz w:val="24"/>
              <w:szCs w:val="24"/>
            </w:rPr>
            <w:fldChar w:fldCharType="separate"/>
          </w:r>
          <w:r w:rsidRPr="00035CDA">
            <w:rPr>
              <w:rFonts w:asciiTheme="majorBidi" w:hAnsiTheme="majorBidi" w:cstheme="majorBidi"/>
              <w:noProof/>
              <w:sz w:val="24"/>
              <w:szCs w:val="24"/>
            </w:rPr>
            <w:t>(Cruz, 2024)</w:t>
          </w:r>
          <w:r w:rsidRPr="00035CDA">
            <w:rPr>
              <w:rFonts w:asciiTheme="majorBidi" w:hAnsiTheme="majorBidi" w:cstheme="majorBidi"/>
              <w:sz w:val="24"/>
              <w:szCs w:val="24"/>
            </w:rPr>
            <w:fldChar w:fldCharType="end"/>
          </w:r>
        </w:sdtContent>
      </w:sdt>
      <w:r w:rsidRPr="00035CDA">
        <w:rPr>
          <w:rFonts w:asciiTheme="majorBidi" w:hAnsiTheme="majorBidi" w:cstheme="majorBidi"/>
          <w:sz w:val="24"/>
          <w:szCs w:val="24"/>
        </w:rPr>
        <w:t>.</w:t>
      </w:r>
      <w:proofErr w:type="gramEnd"/>
      <w:r w:rsidRPr="00035CDA">
        <w:rPr>
          <w:rFonts w:asciiTheme="majorBidi" w:hAnsiTheme="majorBidi" w:cstheme="majorBidi"/>
          <w:sz w:val="24"/>
          <w:szCs w:val="24"/>
        </w:rPr>
        <w:t xml:space="preserve"> In Case 1, negotiation between Gordon and the employer facilitated a mutually acceptable compromise, avoiding the need for formal legal proceedings. However, ADR in employment disputes can sometimes fail to uphold statutory rights if not managed fully.</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In Case 2, Janet's consumer dispute, mediation is quicker than court action and improves communication between the consumer and Virgin Media. However, ADR does not impose effective remedies, such as compensation for financial loss, which should be claimed through legal procedures under consumer protection laws.</w:t>
      </w:r>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In Case 3, mediation or arbitration </w:t>
      </w:r>
      <w:proofErr w:type="gramStart"/>
      <w:r w:rsidRPr="00035CDA">
        <w:rPr>
          <w:rFonts w:asciiTheme="majorBidi" w:hAnsiTheme="majorBidi" w:cstheme="majorBidi"/>
          <w:sz w:val="24"/>
          <w:szCs w:val="24"/>
        </w:rPr>
        <w:t>facilitate</w:t>
      </w:r>
      <w:proofErr w:type="gramEnd"/>
      <w:r w:rsidRPr="00035CDA">
        <w:rPr>
          <w:rFonts w:asciiTheme="majorBidi" w:hAnsiTheme="majorBidi" w:cstheme="majorBidi"/>
          <w:sz w:val="24"/>
          <w:szCs w:val="24"/>
        </w:rPr>
        <w:t xml:space="preserve"> communication between Blackhorse Limited and the creditors, leading to cooperation in restructuring the debt without the court's intervention. These are highly dependent on creditor voluntarism, and with no binding agreement, the danger of escalation into liquidation is not precluded.</w:t>
      </w:r>
    </w:p>
    <w:p w:rsidR="009600AD" w:rsidRPr="00035CDA" w:rsidRDefault="009600AD" w:rsidP="009600AD">
      <w:pPr>
        <w:pStyle w:val="Heading2"/>
        <w:spacing w:line="360" w:lineRule="auto"/>
        <w:jc w:val="both"/>
        <w:rPr>
          <w:rFonts w:asciiTheme="majorBidi" w:eastAsia="Times New Roman" w:hAnsiTheme="majorBidi"/>
          <w:color w:val="auto"/>
          <w:sz w:val="24"/>
          <w:szCs w:val="24"/>
        </w:rPr>
      </w:pPr>
      <w:bookmarkStart w:id="29" w:name="_Toc184841756"/>
      <w:r w:rsidRPr="00035CDA">
        <w:rPr>
          <w:rFonts w:asciiTheme="majorBidi" w:eastAsia="Times New Roman" w:hAnsiTheme="majorBidi"/>
          <w:color w:val="auto"/>
          <w:sz w:val="24"/>
          <w:szCs w:val="24"/>
        </w:rPr>
        <w:t>Advantages and Disadvantages of Each Approach</w:t>
      </w:r>
      <w:bookmarkEnd w:id="29"/>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ADR methods generally save time and costs and maintain confidentiality, which is beneficial in maintaining business relationships. However, they lack the binding authority of court judgments and can sometimes result in unequal outcomes if one party has greater negotiating power. While usually slower and more costly, legal solutions provide binding results and, often more importantly, vindicate legal rights and responsibilities. This will be particularly so in cases of breach of contract or insolvency, where statutory protections become vital.</w:t>
      </w:r>
    </w:p>
    <w:p w:rsidR="009600AD" w:rsidRPr="00613DEF" w:rsidRDefault="009600AD" w:rsidP="009600AD">
      <w:pPr>
        <w:pStyle w:val="Heading1"/>
        <w:spacing w:line="360" w:lineRule="auto"/>
        <w:jc w:val="both"/>
        <w:rPr>
          <w:rFonts w:asciiTheme="majorBidi" w:eastAsia="Times New Roman" w:hAnsiTheme="majorBidi"/>
          <w:b/>
          <w:bCs/>
          <w:color w:val="auto"/>
          <w:sz w:val="24"/>
          <w:szCs w:val="24"/>
        </w:rPr>
      </w:pPr>
      <w:bookmarkStart w:id="30" w:name="_Toc184841757"/>
      <w:r w:rsidRPr="00613DEF">
        <w:rPr>
          <w:rFonts w:asciiTheme="majorBidi" w:eastAsia="Times New Roman" w:hAnsiTheme="majorBidi"/>
          <w:b/>
          <w:bCs/>
          <w:color w:val="auto"/>
          <w:sz w:val="24"/>
          <w:szCs w:val="24"/>
        </w:rPr>
        <w:t>Conclusion</w:t>
      </w:r>
      <w:bookmarkEnd w:id="30"/>
    </w:p>
    <w:p w:rsidR="009600AD" w:rsidRPr="00035CDA" w:rsidRDefault="009600AD" w:rsidP="009600AD">
      <w:pPr>
        <w:spacing w:line="360" w:lineRule="auto"/>
        <w:jc w:val="both"/>
        <w:rPr>
          <w:rFonts w:asciiTheme="majorBidi" w:hAnsiTheme="majorBidi" w:cstheme="majorBidi"/>
          <w:sz w:val="24"/>
          <w:szCs w:val="24"/>
        </w:rPr>
      </w:pPr>
      <w:r w:rsidRPr="00035CDA">
        <w:rPr>
          <w:rFonts w:asciiTheme="majorBidi" w:hAnsiTheme="majorBidi" w:cstheme="majorBidi"/>
          <w:sz w:val="24"/>
          <w:szCs w:val="24"/>
        </w:rPr>
        <w:t xml:space="preserve">As discussed above, each of the three case scenarios delineates customized legal solutions. In the case of Gordon, the institution of statutory claims will best ensure that one gets his rightful compensation and can balance with employer interests. In the case of Janet, consumer protection law plays a vital role in ensuring that service failures, apart from billing errors of this kind, are looked after. The case scenario of Blackhorse Limited shows the lifeline extended by insolvency </w:t>
      </w:r>
      <w:r w:rsidRPr="00035CDA">
        <w:rPr>
          <w:rFonts w:asciiTheme="majorBidi" w:hAnsiTheme="majorBidi" w:cstheme="majorBidi"/>
          <w:sz w:val="24"/>
          <w:szCs w:val="24"/>
        </w:rPr>
        <w:lastRenderedPageBreak/>
        <w:t xml:space="preserve">laws and structured agreements between various parties to save their businesses while protecting the creditor's interests. Parties in any such situation must always be transparent and adopt an approach to ADR methods as and when possible, saving only those issues that need intervention by statute. Proactive legal advice combined with approaches to ADR can further efficient, fair, and cheaper ways of dispute resolution. These strategies underline the bottom line of legal frameworks in maintaining trust and accountability across business relationships. </w:t>
      </w:r>
    </w:p>
    <w:p w:rsidR="009600AD" w:rsidRPr="00035CDA" w:rsidRDefault="009600AD" w:rsidP="009600AD">
      <w:pPr>
        <w:spacing w:line="360" w:lineRule="auto"/>
        <w:jc w:val="both"/>
        <w:rPr>
          <w:rFonts w:asciiTheme="majorBidi" w:hAnsiTheme="majorBidi" w:cstheme="majorBidi"/>
          <w:sz w:val="24"/>
          <w:szCs w:val="24"/>
        </w:rPr>
      </w:pPr>
    </w:p>
    <w:p w:rsidR="00732228" w:rsidRPr="00AC1246" w:rsidRDefault="00732228" w:rsidP="00732228">
      <w:pPr>
        <w:jc w:val="both"/>
      </w:pPr>
    </w:p>
    <w:p w:rsidR="00732228" w:rsidRPr="00AC1246" w:rsidRDefault="00732228" w:rsidP="00732228">
      <w:pPr>
        <w:jc w:val="both"/>
      </w:pPr>
    </w:p>
    <w:p w:rsidR="00732228" w:rsidRPr="00AC1246" w:rsidRDefault="00732228">
      <w:r w:rsidRPr="00AC1246">
        <w:br w:type="page"/>
      </w:r>
    </w:p>
    <w:bookmarkStart w:id="31" w:name="_Toc184841758" w:displacedByCustomXml="next"/>
    <w:sdt>
      <w:sdtPr>
        <w:rPr>
          <w:rFonts w:asciiTheme="minorHAnsi" w:eastAsiaTheme="minorHAnsi" w:hAnsiTheme="minorHAnsi" w:cstheme="minorBidi"/>
          <w:color w:val="auto"/>
          <w:sz w:val="22"/>
          <w:szCs w:val="22"/>
        </w:rPr>
        <w:id w:val="-1526853842"/>
        <w:docPartObj>
          <w:docPartGallery w:val="Bibliographies"/>
          <w:docPartUnique/>
        </w:docPartObj>
      </w:sdtPr>
      <w:sdtEndPr/>
      <w:sdtContent>
        <w:p w:rsidR="00732228" w:rsidRDefault="00732228" w:rsidP="00732228">
          <w:pPr>
            <w:pStyle w:val="Heading1"/>
            <w:spacing w:line="360" w:lineRule="auto"/>
            <w:jc w:val="center"/>
          </w:pPr>
          <w:r>
            <w:t>Bibliography</w:t>
          </w:r>
          <w:bookmarkEnd w:id="31"/>
        </w:p>
        <w:p w:rsidR="00B60966" w:rsidRPr="00B60966" w:rsidRDefault="00B60966" w:rsidP="00B60966"/>
        <w:sdt>
          <w:sdtPr>
            <w:id w:val="111145805"/>
            <w:bibliography/>
          </w:sdtPr>
          <w:sdtEndPr/>
          <w:sdtContent>
            <w:p w:rsidR="00732228" w:rsidRPr="00732228" w:rsidRDefault="00732228" w:rsidP="00732228">
              <w:pPr>
                <w:pStyle w:val="Bibliography"/>
                <w:spacing w:line="360" w:lineRule="auto"/>
                <w:ind w:left="720" w:hanging="720"/>
                <w:jc w:val="both"/>
                <w:rPr>
                  <w:rFonts w:ascii="Times New Roman" w:hAnsi="Times New Roman" w:cs="Times New Roman"/>
                  <w:noProof/>
                  <w:sz w:val="28"/>
                  <w:szCs w:val="24"/>
                </w:rPr>
              </w:pPr>
              <w:r w:rsidRPr="00732228">
                <w:rPr>
                  <w:rFonts w:ascii="Times New Roman" w:hAnsi="Times New Roman" w:cs="Times New Roman"/>
                  <w:sz w:val="24"/>
                </w:rPr>
                <w:fldChar w:fldCharType="begin"/>
              </w:r>
              <w:r w:rsidRPr="00732228">
                <w:rPr>
                  <w:rFonts w:ascii="Times New Roman" w:hAnsi="Times New Roman" w:cs="Times New Roman"/>
                  <w:sz w:val="24"/>
                </w:rPr>
                <w:instrText xml:space="preserve"> BIBLIOGRAPHY </w:instrText>
              </w:r>
              <w:r w:rsidRPr="00732228">
                <w:rPr>
                  <w:rFonts w:ascii="Times New Roman" w:hAnsi="Times New Roman" w:cs="Times New Roman"/>
                  <w:sz w:val="24"/>
                </w:rPr>
                <w:fldChar w:fldCharType="separate"/>
              </w:r>
              <w:r w:rsidRPr="00732228">
                <w:rPr>
                  <w:rFonts w:ascii="Times New Roman" w:hAnsi="Times New Roman" w:cs="Times New Roman"/>
                  <w:noProof/>
                  <w:sz w:val="24"/>
                </w:rPr>
                <w:t xml:space="preserve">(Legislation.gov.uk., 2., (2024). </w:t>
              </w:r>
              <w:r w:rsidRPr="00732228">
                <w:rPr>
                  <w:rFonts w:ascii="Times New Roman" w:hAnsi="Times New Roman" w:cs="Times New Roman"/>
                  <w:i/>
                  <w:iCs/>
                  <w:noProof/>
                  <w:sz w:val="24"/>
                </w:rPr>
                <w:t xml:space="preserve">Legislation.gov.uk. Companies Act 2006..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https://www.legislation.gov.uk/ukpga/2006/46/contents</w:t>
              </w:r>
              <w:r w:rsidRPr="00732228">
                <w:rPr>
                  <w:rFonts w:ascii="Times New Roman" w:hAnsi="Times New Roman" w:cs="Times New Roman"/>
                  <w:noProof/>
                  <w:sz w:val="24"/>
                </w:rPr>
                <w:br/>
                <w:t>[Accessed Monday Dec 2024].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[online], W. i. a. A. o. P., (2024). . </w:t>
              </w:r>
              <w:r w:rsidRPr="00732228">
                <w:rPr>
                  <w:rFonts w:ascii="Times New Roman" w:hAnsi="Times New Roman" w:cs="Times New Roman"/>
                  <w:i/>
                  <w:iCs/>
                  <w:noProof/>
                  <w:sz w:val="24"/>
                </w:rPr>
                <w:t xml:space="preserve">Parliament.uk..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 xml:space="preserve">https://www.parliament.uk/about/how/laws/acts/ </w:t>
              </w:r>
              <w:r w:rsidRPr="00732228">
                <w:rPr>
                  <w:rFonts w:ascii="Times New Roman" w:hAnsi="Times New Roman" w:cs="Times New Roman"/>
                  <w:noProof/>
                  <w:sz w:val="24"/>
                </w:rPr>
                <w:br/>
                <w:t>[Accessed Monday Dec (2024). ].</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Afolayan &amp; Arogundade, a., 2021. Analysis of the Legal Obligation of Suppliers and Manufacturers to Consumers in Nigeria and the United Kingdom.. </w:t>
              </w:r>
              <w:r w:rsidRPr="00732228">
                <w:rPr>
                  <w:rFonts w:ascii="Times New Roman" w:hAnsi="Times New Roman" w:cs="Times New Roman"/>
                  <w:i/>
                  <w:iCs/>
                  <w:noProof/>
                  <w:sz w:val="24"/>
                </w:rPr>
                <w:t xml:space="preserve">International Journal of Research and Innovation in Social Science,, </w:t>
              </w:r>
              <w:r w:rsidRPr="00732228">
                <w:rPr>
                  <w:rFonts w:ascii="Times New Roman" w:hAnsi="Times New Roman" w:cs="Times New Roman"/>
                  <w:noProof/>
                  <w:sz w:val="24"/>
                </w:rPr>
                <w:t>Volume 5(11), , pp. pp.01-05..</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Allioui, H. a. M., 2023. Exploring the full potentials of IoT for better financial growth and stability: A comprehensive survey.. </w:t>
              </w:r>
              <w:r w:rsidRPr="00732228">
                <w:rPr>
                  <w:rFonts w:ascii="Times New Roman" w:hAnsi="Times New Roman" w:cs="Times New Roman"/>
                  <w:i/>
                  <w:iCs/>
                  <w:noProof/>
                  <w:sz w:val="24"/>
                </w:rPr>
                <w:t xml:space="preserve">Sensors, </w:t>
              </w:r>
              <w:r w:rsidRPr="00732228">
                <w:rPr>
                  <w:rFonts w:ascii="Times New Roman" w:hAnsi="Times New Roman" w:cs="Times New Roman"/>
                  <w:noProof/>
                  <w:sz w:val="24"/>
                </w:rPr>
                <w:t>Volume 23(19),, p. p.8015..</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Almeida, Shmarko &amp; Lomas, 2022. The ethics of facial recognition technologies, surveillance, and accountability in an age of artificial intelligence: a comparative analysis of US, EU, and UK regulatory frameworks.. </w:t>
              </w:r>
              <w:r w:rsidRPr="00732228">
                <w:rPr>
                  <w:rFonts w:ascii="Times New Roman" w:hAnsi="Times New Roman" w:cs="Times New Roman"/>
                  <w:i/>
                  <w:iCs/>
                  <w:noProof/>
                  <w:sz w:val="24"/>
                </w:rPr>
                <w:t xml:space="preserve">AI and Ethics, </w:t>
              </w:r>
              <w:r w:rsidRPr="00732228">
                <w:rPr>
                  <w:rFonts w:ascii="Times New Roman" w:hAnsi="Times New Roman" w:cs="Times New Roman"/>
                  <w:noProof/>
                  <w:sz w:val="24"/>
                </w:rPr>
                <w:t>Volume 2(3), , p. pp.377.</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Almeida, Shmarko &amp; Lomas, 2022. The ethics of facial recognition technologies, surveillance, and accountability in an age of artificial intelligence: a comparative analysis of US, EU, and UK regulatory frameworks.. </w:t>
              </w:r>
              <w:r w:rsidRPr="00732228">
                <w:rPr>
                  <w:rFonts w:ascii="Times New Roman" w:hAnsi="Times New Roman" w:cs="Times New Roman"/>
                  <w:i/>
                  <w:iCs/>
                  <w:noProof/>
                  <w:sz w:val="24"/>
                </w:rPr>
                <w:t xml:space="preserve">AI and Ethics, </w:t>
              </w:r>
              <w:r w:rsidRPr="00732228">
                <w:rPr>
                  <w:rFonts w:ascii="Times New Roman" w:hAnsi="Times New Roman" w:cs="Times New Roman"/>
                  <w:noProof/>
                  <w:sz w:val="24"/>
                </w:rPr>
                <w:t>Volume 2(3),, p. pp.377.</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Armour &amp; Sako, 2020. AI-enabled business models in legal services: from traditional law firms to next-generation law companies?.. </w:t>
              </w:r>
              <w:r w:rsidRPr="00732228">
                <w:rPr>
                  <w:rFonts w:ascii="Times New Roman" w:hAnsi="Times New Roman" w:cs="Times New Roman"/>
                  <w:i/>
                  <w:iCs/>
                  <w:noProof/>
                  <w:sz w:val="24"/>
                </w:rPr>
                <w:t xml:space="preserve">Journal of Professions and Organization, </w:t>
              </w:r>
              <w:r w:rsidRPr="00732228">
                <w:rPr>
                  <w:rFonts w:ascii="Times New Roman" w:hAnsi="Times New Roman" w:cs="Times New Roman"/>
                  <w:noProof/>
                  <w:sz w:val="24"/>
                </w:rPr>
                <w:t>Volume 7(1), , pp. pp.27-46..</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Baldini, Bressanelli &amp; and Massetti, 2022. Back to the Westminster model? The Brexit process and the UK political system.. </w:t>
              </w:r>
              <w:r w:rsidRPr="00732228">
                <w:rPr>
                  <w:rFonts w:ascii="Times New Roman" w:hAnsi="Times New Roman" w:cs="Times New Roman"/>
                  <w:i/>
                  <w:iCs/>
                  <w:noProof/>
                  <w:sz w:val="24"/>
                </w:rPr>
                <w:t xml:space="preserve">International Political Science Review, </w:t>
              </w:r>
              <w:r w:rsidRPr="00732228">
                <w:rPr>
                  <w:rFonts w:ascii="Times New Roman" w:hAnsi="Times New Roman" w:cs="Times New Roman"/>
                  <w:noProof/>
                  <w:sz w:val="24"/>
                </w:rPr>
                <w:t>Volume 43(3), , pp. pp.329-344..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Cabrelli, 2020. </w:t>
              </w:r>
              <w:r w:rsidRPr="00732228">
                <w:rPr>
                  <w:rFonts w:ascii="Times New Roman" w:hAnsi="Times New Roman" w:cs="Times New Roman"/>
                  <w:i/>
                  <w:iCs/>
                  <w:noProof/>
                  <w:sz w:val="24"/>
                </w:rPr>
                <w:t xml:space="preserve">Employment law.. </w:t>
              </w:r>
              <w:r w:rsidRPr="00732228">
                <w:rPr>
                  <w:rFonts w:ascii="Times New Roman" w:hAnsi="Times New Roman" w:cs="Times New Roman"/>
                  <w:noProof/>
                  <w:sz w:val="24"/>
                </w:rPr>
                <w:t>UK.: Pearson.</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Cruz, D., 2024. Comparative law in a changing world. </w:t>
              </w:r>
              <w:r w:rsidRPr="00732228">
                <w:rPr>
                  <w:rFonts w:ascii="Times New Roman" w:hAnsi="Times New Roman" w:cs="Times New Roman"/>
                  <w:i/>
                  <w:iCs/>
                  <w:noProof/>
                  <w:sz w:val="24"/>
                </w:rPr>
                <w:t>Taylor &amp; Francis.</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lastRenderedPageBreak/>
                <w:t>Egbunike-Umegbolu, 2024. Contemporary Overview of Appropriate Dispute Resolution (ADR). Appropriate Dispute Resolution in Comparative Perspectives: Nigeria, the UK, and the US. pp. pp.1-28..</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Europe, Y., 2022. </w:t>
              </w:r>
              <w:r w:rsidRPr="00732228">
                <w:rPr>
                  <w:rFonts w:ascii="Times New Roman" w:hAnsi="Times New Roman" w:cs="Times New Roman"/>
                  <w:i/>
                  <w:iCs/>
                  <w:noProof/>
                  <w:sz w:val="24"/>
                </w:rPr>
                <w:t xml:space="preserve">Data protection under GDPR - Your Europe..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https://europa.eu/youreurope/business/dealing-with-customers/data-protection/data-protection-gdpr/index_en.htm [</w:t>
              </w:r>
              <w:r w:rsidRPr="00732228">
                <w:rPr>
                  <w:rFonts w:ascii="Times New Roman" w:hAnsi="Times New Roman" w:cs="Times New Roman"/>
                  <w:noProof/>
                  <w:sz w:val="24"/>
                </w:rPr>
                <w:br/>
                <w:t>[Accessed Monday Dec 2024].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Fanto, 2021. The Professionalization of Compliance: Its Progress, Impediments, and Outcomes.. </w:t>
              </w:r>
              <w:r w:rsidRPr="00732228">
                <w:rPr>
                  <w:rFonts w:ascii="Times New Roman" w:hAnsi="Times New Roman" w:cs="Times New Roman"/>
                  <w:i/>
                  <w:iCs/>
                  <w:noProof/>
                  <w:sz w:val="24"/>
                </w:rPr>
                <w:t xml:space="preserve">Notre Dame JL Ethics &amp; Pub. Pol'y, </w:t>
              </w:r>
              <w:r w:rsidRPr="00732228">
                <w:rPr>
                  <w:rFonts w:ascii="Times New Roman" w:hAnsi="Times New Roman" w:cs="Times New Roman"/>
                  <w:noProof/>
                  <w:sz w:val="24"/>
                </w:rPr>
                <w:t>Volume 35, , p. p.183..</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Geistfeld, 2020. Tort law and civil recourse. </w:t>
              </w:r>
              <w:r w:rsidRPr="00732228">
                <w:rPr>
                  <w:rFonts w:ascii="Times New Roman" w:hAnsi="Times New Roman" w:cs="Times New Roman"/>
                  <w:i/>
                  <w:iCs/>
                  <w:noProof/>
                  <w:sz w:val="24"/>
                </w:rPr>
                <w:t xml:space="preserve">Mich. L. Rev., </w:t>
              </w:r>
              <w:r w:rsidRPr="00732228">
                <w:rPr>
                  <w:rFonts w:ascii="Times New Roman" w:hAnsi="Times New Roman" w:cs="Times New Roman"/>
                  <w:noProof/>
                  <w:sz w:val="24"/>
                </w:rPr>
                <w:t>Volume 119, p. p.1289..</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Gilson, 2024. Privacy and Precedent: Exploring the Factors Influencing the US Supreme Court’s Departures from Precedent. The Undergraduate Law Review at UC San Diego,. Volume 2(1)..</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Griffin, L. a. K., 2020. Comparative Judicialism, Popular Sovereignty, and the Rule of Law: The US and UK Supreme Courts.. </w:t>
              </w:r>
              <w:r w:rsidRPr="00732228">
                <w:rPr>
                  <w:rFonts w:ascii="Times New Roman" w:hAnsi="Times New Roman" w:cs="Times New Roman"/>
                  <w:i/>
                  <w:iCs/>
                  <w:noProof/>
                  <w:sz w:val="24"/>
                </w:rPr>
                <w:t xml:space="preserve">Wash. &amp; Lee L. Rev. , </w:t>
              </w:r>
              <w:r w:rsidRPr="00732228">
                <w:rPr>
                  <w:rFonts w:ascii="Times New Roman" w:hAnsi="Times New Roman" w:cs="Times New Roman"/>
                  <w:noProof/>
                  <w:sz w:val="24"/>
                </w:rPr>
                <w:t>Volume Online, 77, p. p.323..</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Hand &amp; Hooton, a., 2024. Equal Pay and the Equality Act 2010: An Accidental Paradox in Need of Change?.. </w:t>
              </w:r>
              <w:r w:rsidRPr="00732228">
                <w:rPr>
                  <w:rFonts w:ascii="Times New Roman" w:hAnsi="Times New Roman" w:cs="Times New Roman"/>
                  <w:i/>
                  <w:iCs/>
                  <w:noProof/>
                  <w:sz w:val="24"/>
                </w:rPr>
                <w:t xml:space="preserve">Liverpool Law Review, </w:t>
              </w:r>
              <w:r w:rsidRPr="00732228">
                <w:rPr>
                  <w:rFonts w:ascii="Times New Roman" w:hAnsi="Times New Roman" w:cs="Times New Roman"/>
                  <w:noProof/>
                  <w:sz w:val="24"/>
                </w:rPr>
                <w:t>Volume 45(1), , pp. pp.105-123..</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January, Q. a. A. o. t. U. K. w. f. t. E. U. o. 3., 2020. </w:t>
              </w:r>
              <w:r w:rsidRPr="00732228">
                <w:rPr>
                  <w:rFonts w:ascii="Times New Roman" w:hAnsi="Times New Roman" w:cs="Times New Roman"/>
                  <w:i/>
                  <w:iCs/>
                  <w:noProof/>
                  <w:sz w:val="24"/>
                </w:rPr>
                <w:t xml:space="preserve">European Commission - European Commission. (2024)..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https://ec.europa.eu/commission/presscorner/detail/en/qanda_20_104</w:t>
              </w:r>
              <w:r w:rsidRPr="00732228">
                <w:rPr>
                  <w:rFonts w:ascii="Times New Roman" w:hAnsi="Times New Roman" w:cs="Times New Roman"/>
                  <w:noProof/>
                  <w:sz w:val="24"/>
                </w:rPr>
                <w:br/>
                <w:t>[Accessed Monday Dec [Accessed 9 Dec. 2024]].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Klar, 2020. Binding effects of the European general data protection regulation (gdpr) on US companies.. </w:t>
              </w:r>
              <w:r w:rsidRPr="00732228">
                <w:rPr>
                  <w:rFonts w:ascii="Times New Roman" w:hAnsi="Times New Roman" w:cs="Times New Roman"/>
                  <w:i/>
                  <w:iCs/>
                  <w:noProof/>
                  <w:sz w:val="24"/>
                </w:rPr>
                <w:t xml:space="preserve">Hastings Sci. &amp; Tech., </w:t>
              </w:r>
              <w:r w:rsidRPr="00732228">
                <w:rPr>
                  <w:rFonts w:ascii="Times New Roman" w:hAnsi="Times New Roman" w:cs="Times New Roman"/>
                  <w:noProof/>
                  <w:sz w:val="24"/>
                </w:rPr>
                <w:t>Volume 11,, p. p.101..</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Larcker, D. a. T. B., 2020.. </w:t>
              </w:r>
              <w:r w:rsidRPr="00732228">
                <w:rPr>
                  <w:rFonts w:ascii="Times New Roman" w:hAnsi="Times New Roman" w:cs="Times New Roman"/>
                  <w:i/>
                  <w:iCs/>
                  <w:noProof/>
                  <w:sz w:val="24"/>
                </w:rPr>
                <w:t xml:space="preserve">Corporate governance matters, </w:t>
              </w:r>
              <w:r w:rsidRPr="00732228">
                <w:rPr>
                  <w:rFonts w:ascii="Times New Roman" w:hAnsi="Times New Roman" w:cs="Times New Roman"/>
                  <w:noProof/>
                  <w:sz w:val="24"/>
                </w:rPr>
                <w:t>s.l.: FT Press..</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Leider, 2021. The modern common law of crime. The Journal of Criminal Law and Criminology (1973-). Volume 111(2),, pp. pp.407-499..</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lastRenderedPageBreak/>
                <w:t xml:space="preserve">Mildred, 2020. Introduction to the Law of Product Liability. In Product Liability. </w:t>
              </w:r>
              <w:r w:rsidRPr="00732228">
                <w:rPr>
                  <w:rFonts w:ascii="Times New Roman" w:hAnsi="Times New Roman" w:cs="Times New Roman"/>
                  <w:i/>
                  <w:iCs/>
                  <w:noProof/>
                  <w:sz w:val="24"/>
                </w:rPr>
                <w:t xml:space="preserve">Informa Law from Routledge., </w:t>
              </w:r>
              <w:r w:rsidRPr="00732228">
                <w:rPr>
                  <w:rFonts w:ascii="Times New Roman" w:hAnsi="Times New Roman" w:cs="Times New Roman"/>
                  <w:noProof/>
                  <w:sz w:val="24"/>
                </w:rPr>
                <w:t>pp. (pp. 1-57). .</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Mitchell, 2020. . Implied Terms as to Description and Misrepresentation. In Sale of Goods. </w:t>
              </w:r>
              <w:r w:rsidRPr="00732228">
                <w:rPr>
                  <w:rFonts w:ascii="Times New Roman" w:hAnsi="Times New Roman" w:cs="Times New Roman"/>
                  <w:i/>
                  <w:iCs/>
                  <w:noProof/>
                  <w:sz w:val="24"/>
                </w:rPr>
                <w:t xml:space="preserve">Informa Law from Routledge., </w:t>
              </w:r>
              <w:r w:rsidRPr="00732228">
                <w:rPr>
                  <w:rFonts w:ascii="Times New Roman" w:hAnsi="Times New Roman" w:cs="Times New Roman"/>
                  <w:noProof/>
                  <w:sz w:val="24"/>
                </w:rPr>
                <w:t>pp. pp. 317-377). .</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sector.)., T. p. o. w.-b. i. t. p. s. s. T. m. o. t. p. o. w.-b. i. t. p. s., (2022. </w:t>
              </w:r>
              <w:r w:rsidRPr="00732228">
                <w:rPr>
                  <w:rFonts w:ascii="Times New Roman" w:hAnsi="Times New Roman" w:cs="Times New Roman"/>
                  <w:i/>
                  <w:iCs/>
                  <w:noProof/>
                  <w:sz w:val="24"/>
                </w:rPr>
                <w:t xml:space="preserve">The protection of whistle-blowers in the public service sector Technical meeting on the protection of whistle-blowers in the public service sector., </w:t>
              </w:r>
              <w:r w:rsidRPr="00732228">
                <w:rPr>
                  <w:rFonts w:ascii="Times New Roman" w:hAnsi="Times New Roman" w:cs="Times New Roman"/>
                  <w:noProof/>
                  <w:sz w:val="24"/>
                </w:rPr>
                <w:t>s.l.: International Labor Organisation.</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Wang, Abbasi, Babajide &amp; and Yekini, 2020. Corporate governance mechanisms and firm performance: evidence from the emerging market following the revised CG code.. </w:t>
              </w:r>
              <w:r w:rsidRPr="00732228">
                <w:rPr>
                  <w:rFonts w:ascii="Times New Roman" w:hAnsi="Times New Roman" w:cs="Times New Roman"/>
                  <w:i/>
                  <w:iCs/>
                  <w:noProof/>
                  <w:sz w:val="24"/>
                </w:rPr>
                <w:t xml:space="preserve">Corporate Governance: The international journal of business in society, </w:t>
              </w:r>
              <w:r w:rsidRPr="00732228">
                <w:rPr>
                  <w:rFonts w:ascii="Times New Roman" w:hAnsi="Times New Roman" w:cs="Times New Roman"/>
                  <w:noProof/>
                  <w:sz w:val="24"/>
                </w:rPr>
                <w:t>Volume 20(1).</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Watch, H. R., (2019).. </w:t>
              </w:r>
              <w:r w:rsidRPr="00732228">
                <w:rPr>
                  <w:rFonts w:ascii="Times New Roman" w:hAnsi="Times New Roman" w:cs="Times New Roman"/>
                  <w:i/>
                  <w:iCs/>
                  <w:noProof/>
                  <w:sz w:val="24"/>
                </w:rPr>
                <w:t xml:space="preserve">Human Rights Watch.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https://www.hrw.org/report/2019/01/23/no-room-bargain/unfair-and-abusive-labor-practices-pakistan</w:t>
              </w:r>
              <w:r w:rsidRPr="00732228">
                <w:rPr>
                  <w:rFonts w:ascii="Times New Roman" w:hAnsi="Times New Roman" w:cs="Times New Roman"/>
                  <w:noProof/>
                  <w:sz w:val="24"/>
                </w:rPr>
                <w:br/>
                <w:t>[Accessed Monday Dec 2024].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Watch, H. R., (2019. </w:t>
              </w:r>
              <w:r w:rsidRPr="00732228">
                <w:rPr>
                  <w:rFonts w:ascii="Times New Roman" w:hAnsi="Times New Roman" w:cs="Times New Roman"/>
                  <w:i/>
                  <w:iCs/>
                  <w:noProof/>
                  <w:sz w:val="24"/>
                </w:rPr>
                <w:t xml:space="preserve">Human Rights Watch. </w:t>
              </w:r>
              <w:r w:rsidRPr="00732228">
                <w:rPr>
                  <w:rFonts w:ascii="Times New Roman" w:hAnsi="Times New Roman" w:cs="Times New Roman"/>
                  <w:noProof/>
                  <w:sz w:val="24"/>
                </w:rPr>
                <w:t xml:space="preserve">[Online] </w:t>
              </w:r>
              <w:r w:rsidRPr="00732228">
                <w:rPr>
                  <w:rFonts w:ascii="Times New Roman" w:hAnsi="Times New Roman" w:cs="Times New Roman"/>
                  <w:noProof/>
                  <w:sz w:val="24"/>
                </w:rPr>
                <w:br/>
                <w:t xml:space="preserve">Available at: </w:t>
              </w:r>
              <w:r w:rsidRPr="00732228">
                <w:rPr>
                  <w:rFonts w:ascii="Times New Roman" w:hAnsi="Times New Roman" w:cs="Times New Roman"/>
                  <w:noProof/>
                  <w:sz w:val="24"/>
                  <w:u w:val="single"/>
                </w:rPr>
                <w:t>https://www.hrw.org/report/2019/01/23/no-room-bargain/unfair-and-abusive-labor-practices-pakistan</w:t>
              </w:r>
              <w:r w:rsidRPr="00732228">
                <w:rPr>
                  <w:rFonts w:ascii="Times New Roman" w:hAnsi="Times New Roman" w:cs="Times New Roman"/>
                  <w:noProof/>
                  <w:sz w:val="24"/>
                </w:rPr>
                <w:br/>
                <w:t>[Accessed Monday Dec 2024].</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Weber-Lewerenz, 2021. Corporate digital responsibility (CDR) in construction engineering—ethical guidelines for the application of digital transformation and artificial intelligence (AI) in user practice.. </w:t>
              </w:r>
              <w:r w:rsidRPr="00732228">
                <w:rPr>
                  <w:rFonts w:ascii="Times New Roman" w:hAnsi="Times New Roman" w:cs="Times New Roman"/>
                  <w:i/>
                  <w:iCs/>
                  <w:noProof/>
                  <w:sz w:val="24"/>
                </w:rPr>
                <w:t xml:space="preserve">SN Applied Sciences, </w:t>
              </w:r>
              <w:r w:rsidRPr="00732228">
                <w:rPr>
                  <w:rFonts w:ascii="Times New Roman" w:hAnsi="Times New Roman" w:cs="Times New Roman"/>
                  <w:noProof/>
                  <w:sz w:val="24"/>
                </w:rPr>
                <w:t>Volume 3, , pp. pp.1-25..</w:t>
              </w:r>
            </w:p>
            <w:p w:rsidR="00732228" w:rsidRPr="00732228" w:rsidRDefault="00732228" w:rsidP="00732228">
              <w:pPr>
                <w:pStyle w:val="Bibliography"/>
                <w:spacing w:line="360" w:lineRule="auto"/>
                <w:ind w:left="720" w:hanging="720"/>
                <w:jc w:val="both"/>
                <w:rPr>
                  <w:rFonts w:ascii="Times New Roman" w:hAnsi="Times New Roman" w:cs="Times New Roman"/>
                  <w:noProof/>
                  <w:sz w:val="24"/>
                </w:rPr>
              </w:pPr>
              <w:r w:rsidRPr="00732228">
                <w:rPr>
                  <w:rFonts w:ascii="Times New Roman" w:hAnsi="Times New Roman" w:cs="Times New Roman"/>
                  <w:noProof/>
                  <w:sz w:val="24"/>
                </w:rPr>
                <w:t xml:space="preserve">Wirba, 2024. Corporate social responsibility (CSR): The role of government in promoting CSR.. </w:t>
              </w:r>
              <w:r w:rsidRPr="00732228">
                <w:rPr>
                  <w:rFonts w:ascii="Times New Roman" w:hAnsi="Times New Roman" w:cs="Times New Roman"/>
                  <w:i/>
                  <w:iCs/>
                  <w:noProof/>
                  <w:sz w:val="24"/>
                </w:rPr>
                <w:t xml:space="preserve">Journal of the Knowledge Economy, </w:t>
              </w:r>
              <w:r w:rsidRPr="00732228">
                <w:rPr>
                  <w:rFonts w:ascii="Times New Roman" w:hAnsi="Times New Roman" w:cs="Times New Roman"/>
                  <w:noProof/>
                  <w:sz w:val="24"/>
                </w:rPr>
                <w:t>Volume 15(2), , pp. pp.7428-7454..</w:t>
              </w:r>
            </w:p>
            <w:p w:rsidR="00732228" w:rsidRDefault="00732228" w:rsidP="00732228">
              <w:pPr>
                <w:spacing w:line="360" w:lineRule="auto"/>
                <w:ind w:left="720" w:hanging="720"/>
                <w:jc w:val="both"/>
              </w:pPr>
              <w:r w:rsidRPr="00732228">
                <w:rPr>
                  <w:rFonts w:ascii="Times New Roman" w:hAnsi="Times New Roman" w:cs="Times New Roman"/>
                  <w:b/>
                  <w:bCs/>
                  <w:noProof/>
                  <w:sz w:val="24"/>
                </w:rPr>
                <w:fldChar w:fldCharType="end"/>
              </w:r>
            </w:p>
          </w:sdtContent>
        </w:sdt>
      </w:sdtContent>
    </w:sdt>
    <w:p w:rsidR="00732228" w:rsidRPr="00732228" w:rsidRDefault="00732228" w:rsidP="00732228">
      <w:pPr>
        <w:jc w:val="both"/>
      </w:pPr>
    </w:p>
    <w:p w:rsidR="00732228" w:rsidRPr="00732228" w:rsidRDefault="00732228" w:rsidP="00732228"/>
    <w:p w:rsidR="005624C4" w:rsidRPr="00732228" w:rsidRDefault="005624C4" w:rsidP="00732228">
      <w:pPr>
        <w:spacing w:line="360" w:lineRule="auto"/>
        <w:jc w:val="both"/>
      </w:pPr>
    </w:p>
    <w:sectPr w:rsidR="005624C4" w:rsidRPr="007322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07A21"/>
    <w:multiLevelType w:val="multilevel"/>
    <w:tmpl w:val="446446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914DB7"/>
    <w:multiLevelType w:val="multilevel"/>
    <w:tmpl w:val="67BAA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C17249"/>
    <w:multiLevelType w:val="multilevel"/>
    <w:tmpl w:val="69A0B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8F3F77"/>
    <w:multiLevelType w:val="multilevel"/>
    <w:tmpl w:val="F34C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A47322"/>
    <w:multiLevelType w:val="hybridMultilevel"/>
    <w:tmpl w:val="E1482FC6"/>
    <w:lvl w:ilvl="0" w:tplc="3A68FFD8">
      <w:numFmt w:val="bullet"/>
      <w:lvlText w:val="•"/>
      <w:lvlJc w:val="left"/>
      <w:pPr>
        <w:ind w:left="720" w:hanging="360"/>
      </w:pPr>
      <w:rPr>
        <w:rFonts w:ascii="Calibri" w:eastAsiaTheme="minorHAnsi" w:hAnsi="Calibri" w:cs="Calibri" w:hint="default"/>
      </w:rPr>
    </w:lvl>
    <w:lvl w:ilvl="1" w:tplc="8A00AD02" w:tentative="1">
      <w:start w:val="1"/>
      <w:numFmt w:val="bullet"/>
      <w:lvlText w:val="o"/>
      <w:lvlJc w:val="left"/>
      <w:pPr>
        <w:ind w:left="1440" w:hanging="360"/>
      </w:pPr>
      <w:rPr>
        <w:rFonts w:ascii="Courier New" w:hAnsi="Courier New" w:cs="Courier New" w:hint="default"/>
      </w:rPr>
    </w:lvl>
    <w:lvl w:ilvl="2" w:tplc="D6A8A60C" w:tentative="1">
      <w:start w:val="1"/>
      <w:numFmt w:val="bullet"/>
      <w:lvlText w:val=""/>
      <w:lvlJc w:val="left"/>
      <w:pPr>
        <w:ind w:left="2160" w:hanging="360"/>
      </w:pPr>
      <w:rPr>
        <w:rFonts w:ascii="Wingdings" w:hAnsi="Wingdings" w:hint="default"/>
      </w:rPr>
    </w:lvl>
    <w:lvl w:ilvl="3" w:tplc="A8A42004" w:tentative="1">
      <w:start w:val="1"/>
      <w:numFmt w:val="bullet"/>
      <w:lvlText w:val=""/>
      <w:lvlJc w:val="left"/>
      <w:pPr>
        <w:ind w:left="2880" w:hanging="360"/>
      </w:pPr>
      <w:rPr>
        <w:rFonts w:ascii="Symbol" w:hAnsi="Symbol" w:hint="default"/>
      </w:rPr>
    </w:lvl>
    <w:lvl w:ilvl="4" w:tplc="AC445B04" w:tentative="1">
      <w:start w:val="1"/>
      <w:numFmt w:val="bullet"/>
      <w:lvlText w:val="o"/>
      <w:lvlJc w:val="left"/>
      <w:pPr>
        <w:ind w:left="3600" w:hanging="360"/>
      </w:pPr>
      <w:rPr>
        <w:rFonts w:ascii="Courier New" w:hAnsi="Courier New" w:cs="Courier New" w:hint="default"/>
      </w:rPr>
    </w:lvl>
    <w:lvl w:ilvl="5" w:tplc="3A8A0B9C" w:tentative="1">
      <w:start w:val="1"/>
      <w:numFmt w:val="bullet"/>
      <w:lvlText w:val=""/>
      <w:lvlJc w:val="left"/>
      <w:pPr>
        <w:ind w:left="4320" w:hanging="360"/>
      </w:pPr>
      <w:rPr>
        <w:rFonts w:ascii="Wingdings" w:hAnsi="Wingdings" w:hint="default"/>
      </w:rPr>
    </w:lvl>
    <w:lvl w:ilvl="6" w:tplc="E37ED52A" w:tentative="1">
      <w:start w:val="1"/>
      <w:numFmt w:val="bullet"/>
      <w:lvlText w:val=""/>
      <w:lvlJc w:val="left"/>
      <w:pPr>
        <w:ind w:left="5040" w:hanging="360"/>
      </w:pPr>
      <w:rPr>
        <w:rFonts w:ascii="Symbol" w:hAnsi="Symbol" w:hint="default"/>
      </w:rPr>
    </w:lvl>
    <w:lvl w:ilvl="7" w:tplc="486826BE" w:tentative="1">
      <w:start w:val="1"/>
      <w:numFmt w:val="bullet"/>
      <w:lvlText w:val="o"/>
      <w:lvlJc w:val="left"/>
      <w:pPr>
        <w:ind w:left="5760" w:hanging="360"/>
      </w:pPr>
      <w:rPr>
        <w:rFonts w:ascii="Courier New" w:hAnsi="Courier New" w:cs="Courier New" w:hint="default"/>
      </w:rPr>
    </w:lvl>
    <w:lvl w:ilvl="8" w:tplc="A4DACACC" w:tentative="1">
      <w:start w:val="1"/>
      <w:numFmt w:val="bullet"/>
      <w:lvlText w:val=""/>
      <w:lvlJc w:val="left"/>
      <w:pPr>
        <w:ind w:left="6480" w:hanging="360"/>
      </w:pPr>
      <w:rPr>
        <w:rFonts w:ascii="Wingdings" w:hAnsi="Wingdings" w:hint="default"/>
      </w:rPr>
    </w:lvl>
  </w:abstractNum>
  <w:abstractNum w:abstractNumId="5">
    <w:nsid w:val="1CFD3AF4"/>
    <w:multiLevelType w:val="multilevel"/>
    <w:tmpl w:val="D28CF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DAA2A15"/>
    <w:multiLevelType w:val="multilevel"/>
    <w:tmpl w:val="3AFE7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D11394"/>
    <w:multiLevelType w:val="hybridMultilevel"/>
    <w:tmpl w:val="918ACF04"/>
    <w:lvl w:ilvl="0" w:tplc="55FC3F50">
      <w:start w:val="1"/>
      <w:numFmt w:val="decimal"/>
      <w:lvlText w:val="%1."/>
      <w:lvlJc w:val="left"/>
      <w:pPr>
        <w:ind w:left="720" w:hanging="360"/>
      </w:pPr>
    </w:lvl>
    <w:lvl w:ilvl="1" w:tplc="455E94F8" w:tentative="1">
      <w:start w:val="1"/>
      <w:numFmt w:val="lowerLetter"/>
      <w:lvlText w:val="%2."/>
      <w:lvlJc w:val="left"/>
      <w:pPr>
        <w:ind w:left="1440" w:hanging="360"/>
      </w:pPr>
    </w:lvl>
    <w:lvl w:ilvl="2" w:tplc="55BA4924" w:tentative="1">
      <w:start w:val="1"/>
      <w:numFmt w:val="lowerRoman"/>
      <w:lvlText w:val="%3."/>
      <w:lvlJc w:val="right"/>
      <w:pPr>
        <w:ind w:left="2160" w:hanging="180"/>
      </w:pPr>
    </w:lvl>
    <w:lvl w:ilvl="3" w:tplc="42807A28" w:tentative="1">
      <w:start w:val="1"/>
      <w:numFmt w:val="decimal"/>
      <w:lvlText w:val="%4."/>
      <w:lvlJc w:val="left"/>
      <w:pPr>
        <w:ind w:left="2880" w:hanging="360"/>
      </w:pPr>
    </w:lvl>
    <w:lvl w:ilvl="4" w:tplc="CF2A15D8" w:tentative="1">
      <w:start w:val="1"/>
      <w:numFmt w:val="lowerLetter"/>
      <w:lvlText w:val="%5."/>
      <w:lvlJc w:val="left"/>
      <w:pPr>
        <w:ind w:left="3600" w:hanging="360"/>
      </w:pPr>
    </w:lvl>
    <w:lvl w:ilvl="5" w:tplc="4B00B168" w:tentative="1">
      <w:start w:val="1"/>
      <w:numFmt w:val="lowerRoman"/>
      <w:lvlText w:val="%6."/>
      <w:lvlJc w:val="right"/>
      <w:pPr>
        <w:ind w:left="4320" w:hanging="180"/>
      </w:pPr>
    </w:lvl>
    <w:lvl w:ilvl="6" w:tplc="93B4F7B0" w:tentative="1">
      <w:start w:val="1"/>
      <w:numFmt w:val="decimal"/>
      <w:lvlText w:val="%7."/>
      <w:lvlJc w:val="left"/>
      <w:pPr>
        <w:ind w:left="5040" w:hanging="360"/>
      </w:pPr>
    </w:lvl>
    <w:lvl w:ilvl="7" w:tplc="C840BE1A" w:tentative="1">
      <w:start w:val="1"/>
      <w:numFmt w:val="lowerLetter"/>
      <w:lvlText w:val="%8."/>
      <w:lvlJc w:val="left"/>
      <w:pPr>
        <w:ind w:left="5760" w:hanging="360"/>
      </w:pPr>
    </w:lvl>
    <w:lvl w:ilvl="8" w:tplc="82846EC2" w:tentative="1">
      <w:start w:val="1"/>
      <w:numFmt w:val="lowerRoman"/>
      <w:lvlText w:val="%9."/>
      <w:lvlJc w:val="right"/>
      <w:pPr>
        <w:ind w:left="6480" w:hanging="180"/>
      </w:pPr>
    </w:lvl>
  </w:abstractNum>
  <w:abstractNum w:abstractNumId="8">
    <w:nsid w:val="3D4D026F"/>
    <w:multiLevelType w:val="hybridMultilevel"/>
    <w:tmpl w:val="35DC838A"/>
    <w:lvl w:ilvl="0" w:tplc="320A2524">
      <w:start w:val="1"/>
      <w:numFmt w:val="decimal"/>
      <w:lvlText w:val="%1."/>
      <w:lvlJc w:val="left"/>
      <w:pPr>
        <w:ind w:left="720" w:hanging="360"/>
      </w:pPr>
      <w:rPr>
        <w:rFonts w:hint="default"/>
      </w:rPr>
    </w:lvl>
    <w:lvl w:ilvl="1" w:tplc="17F8E99E" w:tentative="1">
      <w:start w:val="1"/>
      <w:numFmt w:val="lowerLetter"/>
      <w:lvlText w:val="%2."/>
      <w:lvlJc w:val="left"/>
      <w:pPr>
        <w:ind w:left="1440" w:hanging="360"/>
      </w:pPr>
    </w:lvl>
    <w:lvl w:ilvl="2" w:tplc="085ACA8E" w:tentative="1">
      <w:start w:val="1"/>
      <w:numFmt w:val="lowerRoman"/>
      <w:lvlText w:val="%3."/>
      <w:lvlJc w:val="right"/>
      <w:pPr>
        <w:ind w:left="2160" w:hanging="180"/>
      </w:pPr>
    </w:lvl>
    <w:lvl w:ilvl="3" w:tplc="2C6A3190" w:tentative="1">
      <w:start w:val="1"/>
      <w:numFmt w:val="decimal"/>
      <w:lvlText w:val="%4."/>
      <w:lvlJc w:val="left"/>
      <w:pPr>
        <w:ind w:left="2880" w:hanging="360"/>
      </w:pPr>
    </w:lvl>
    <w:lvl w:ilvl="4" w:tplc="EAC2B9C2" w:tentative="1">
      <w:start w:val="1"/>
      <w:numFmt w:val="lowerLetter"/>
      <w:lvlText w:val="%5."/>
      <w:lvlJc w:val="left"/>
      <w:pPr>
        <w:ind w:left="3600" w:hanging="360"/>
      </w:pPr>
    </w:lvl>
    <w:lvl w:ilvl="5" w:tplc="CF905410" w:tentative="1">
      <w:start w:val="1"/>
      <w:numFmt w:val="lowerRoman"/>
      <w:lvlText w:val="%6."/>
      <w:lvlJc w:val="right"/>
      <w:pPr>
        <w:ind w:left="4320" w:hanging="180"/>
      </w:pPr>
    </w:lvl>
    <w:lvl w:ilvl="6" w:tplc="4B8CA8E6" w:tentative="1">
      <w:start w:val="1"/>
      <w:numFmt w:val="decimal"/>
      <w:lvlText w:val="%7."/>
      <w:lvlJc w:val="left"/>
      <w:pPr>
        <w:ind w:left="5040" w:hanging="360"/>
      </w:pPr>
    </w:lvl>
    <w:lvl w:ilvl="7" w:tplc="FA8C9380" w:tentative="1">
      <w:start w:val="1"/>
      <w:numFmt w:val="lowerLetter"/>
      <w:lvlText w:val="%8."/>
      <w:lvlJc w:val="left"/>
      <w:pPr>
        <w:ind w:left="5760" w:hanging="360"/>
      </w:pPr>
    </w:lvl>
    <w:lvl w:ilvl="8" w:tplc="4154B28C" w:tentative="1">
      <w:start w:val="1"/>
      <w:numFmt w:val="lowerRoman"/>
      <w:lvlText w:val="%9."/>
      <w:lvlJc w:val="right"/>
      <w:pPr>
        <w:ind w:left="6480" w:hanging="180"/>
      </w:pPr>
    </w:lvl>
  </w:abstractNum>
  <w:abstractNum w:abstractNumId="9">
    <w:nsid w:val="43042CBD"/>
    <w:multiLevelType w:val="multilevel"/>
    <w:tmpl w:val="FD9AC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0F34EF9"/>
    <w:multiLevelType w:val="multilevel"/>
    <w:tmpl w:val="C332E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3E4169E"/>
    <w:multiLevelType w:val="multilevel"/>
    <w:tmpl w:val="A6EA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881091"/>
    <w:multiLevelType w:val="multilevel"/>
    <w:tmpl w:val="7A9672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D1D6227"/>
    <w:multiLevelType w:val="multilevel"/>
    <w:tmpl w:val="6D640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2A525C3"/>
    <w:multiLevelType w:val="multilevel"/>
    <w:tmpl w:val="E4CAE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2225B15"/>
    <w:multiLevelType w:val="multilevel"/>
    <w:tmpl w:val="06B0C9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38039E9"/>
    <w:multiLevelType w:val="multilevel"/>
    <w:tmpl w:val="DBB2F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4813C82"/>
    <w:multiLevelType w:val="hybridMultilevel"/>
    <w:tmpl w:val="21007572"/>
    <w:lvl w:ilvl="0" w:tplc="E05CC6CA">
      <w:start w:val="1"/>
      <w:numFmt w:val="bullet"/>
      <w:lvlText w:val=""/>
      <w:lvlJc w:val="left"/>
      <w:pPr>
        <w:ind w:left="720" w:hanging="360"/>
      </w:pPr>
      <w:rPr>
        <w:rFonts w:ascii="Symbol" w:hAnsi="Symbol" w:hint="default"/>
      </w:rPr>
    </w:lvl>
    <w:lvl w:ilvl="1" w:tplc="D8F0EA50" w:tentative="1">
      <w:start w:val="1"/>
      <w:numFmt w:val="bullet"/>
      <w:lvlText w:val="o"/>
      <w:lvlJc w:val="left"/>
      <w:pPr>
        <w:ind w:left="1440" w:hanging="360"/>
      </w:pPr>
      <w:rPr>
        <w:rFonts w:ascii="Courier New" w:hAnsi="Courier New" w:cs="Courier New" w:hint="default"/>
      </w:rPr>
    </w:lvl>
    <w:lvl w:ilvl="2" w:tplc="A9129778" w:tentative="1">
      <w:start w:val="1"/>
      <w:numFmt w:val="bullet"/>
      <w:lvlText w:val=""/>
      <w:lvlJc w:val="left"/>
      <w:pPr>
        <w:ind w:left="2160" w:hanging="360"/>
      </w:pPr>
      <w:rPr>
        <w:rFonts w:ascii="Wingdings" w:hAnsi="Wingdings" w:hint="default"/>
      </w:rPr>
    </w:lvl>
    <w:lvl w:ilvl="3" w:tplc="5FFEF61E" w:tentative="1">
      <w:start w:val="1"/>
      <w:numFmt w:val="bullet"/>
      <w:lvlText w:val=""/>
      <w:lvlJc w:val="left"/>
      <w:pPr>
        <w:ind w:left="2880" w:hanging="360"/>
      </w:pPr>
      <w:rPr>
        <w:rFonts w:ascii="Symbol" w:hAnsi="Symbol" w:hint="default"/>
      </w:rPr>
    </w:lvl>
    <w:lvl w:ilvl="4" w:tplc="6CB270D8" w:tentative="1">
      <w:start w:val="1"/>
      <w:numFmt w:val="bullet"/>
      <w:lvlText w:val="o"/>
      <w:lvlJc w:val="left"/>
      <w:pPr>
        <w:ind w:left="3600" w:hanging="360"/>
      </w:pPr>
      <w:rPr>
        <w:rFonts w:ascii="Courier New" w:hAnsi="Courier New" w:cs="Courier New" w:hint="default"/>
      </w:rPr>
    </w:lvl>
    <w:lvl w:ilvl="5" w:tplc="6A1AC0F8" w:tentative="1">
      <w:start w:val="1"/>
      <w:numFmt w:val="bullet"/>
      <w:lvlText w:val=""/>
      <w:lvlJc w:val="left"/>
      <w:pPr>
        <w:ind w:left="4320" w:hanging="360"/>
      </w:pPr>
      <w:rPr>
        <w:rFonts w:ascii="Wingdings" w:hAnsi="Wingdings" w:hint="default"/>
      </w:rPr>
    </w:lvl>
    <w:lvl w:ilvl="6" w:tplc="5A76B4D6" w:tentative="1">
      <w:start w:val="1"/>
      <w:numFmt w:val="bullet"/>
      <w:lvlText w:val=""/>
      <w:lvlJc w:val="left"/>
      <w:pPr>
        <w:ind w:left="5040" w:hanging="360"/>
      </w:pPr>
      <w:rPr>
        <w:rFonts w:ascii="Symbol" w:hAnsi="Symbol" w:hint="default"/>
      </w:rPr>
    </w:lvl>
    <w:lvl w:ilvl="7" w:tplc="EC807AFC" w:tentative="1">
      <w:start w:val="1"/>
      <w:numFmt w:val="bullet"/>
      <w:lvlText w:val="o"/>
      <w:lvlJc w:val="left"/>
      <w:pPr>
        <w:ind w:left="5760" w:hanging="360"/>
      </w:pPr>
      <w:rPr>
        <w:rFonts w:ascii="Courier New" w:hAnsi="Courier New" w:cs="Courier New" w:hint="default"/>
      </w:rPr>
    </w:lvl>
    <w:lvl w:ilvl="8" w:tplc="B48AB884" w:tentative="1">
      <w:start w:val="1"/>
      <w:numFmt w:val="bullet"/>
      <w:lvlText w:val=""/>
      <w:lvlJc w:val="left"/>
      <w:pPr>
        <w:ind w:left="6480" w:hanging="360"/>
      </w:pPr>
      <w:rPr>
        <w:rFonts w:ascii="Wingdings" w:hAnsi="Wingdings" w:hint="default"/>
      </w:rPr>
    </w:lvl>
  </w:abstractNum>
  <w:abstractNum w:abstractNumId="18">
    <w:nsid w:val="77582F9F"/>
    <w:multiLevelType w:val="multilevel"/>
    <w:tmpl w:val="6B981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BF110B2"/>
    <w:multiLevelType w:val="multilevel"/>
    <w:tmpl w:val="85688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E486EE0"/>
    <w:multiLevelType w:val="hybridMultilevel"/>
    <w:tmpl w:val="9142386C"/>
    <w:lvl w:ilvl="0" w:tplc="43907A7C">
      <w:numFmt w:val="bullet"/>
      <w:lvlText w:val="•"/>
      <w:lvlJc w:val="left"/>
      <w:pPr>
        <w:ind w:left="720" w:hanging="360"/>
      </w:pPr>
      <w:rPr>
        <w:rFonts w:ascii="Calibri" w:eastAsiaTheme="minorHAnsi" w:hAnsi="Calibri" w:cs="Calibri" w:hint="default"/>
      </w:rPr>
    </w:lvl>
    <w:lvl w:ilvl="1" w:tplc="5C6870D2" w:tentative="1">
      <w:start w:val="1"/>
      <w:numFmt w:val="bullet"/>
      <w:lvlText w:val="o"/>
      <w:lvlJc w:val="left"/>
      <w:pPr>
        <w:ind w:left="1440" w:hanging="360"/>
      </w:pPr>
      <w:rPr>
        <w:rFonts w:ascii="Courier New" w:hAnsi="Courier New" w:cs="Courier New" w:hint="default"/>
      </w:rPr>
    </w:lvl>
    <w:lvl w:ilvl="2" w:tplc="93EE7F88" w:tentative="1">
      <w:start w:val="1"/>
      <w:numFmt w:val="bullet"/>
      <w:lvlText w:val=""/>
      <w:lvlJc w:val="left"/>
      <w:pPr>
        <w:ind w:left="2160" w:hanging="360"/>
      </w:pPr>
      <w:rPr>
        <w:rFonts w:ascii="Wingdings" w:hAnsi="Wingdings" w:hint="default"/>
      </w:rPr>
    </w:lvl>
    <w:lvl w:ilvl="3" w:tplc="E92272AE" w:tentative="1">
      <w:start w:val="1"/>
      <w:numFmt w:val="bullet"/>
      <w:lvlText w:val=""/>
      <w:lvlJc w:val="left"/>
      <w:pPr>
        <w:ind w:left="2880" w:hanging="360"/>
      </w:pPr>
      <w:rPr>
        <w:rFonts w:ascii="Symbol" w:hAnsi="Symbol" w:hint="default"/>
      </w:rPr>
    </w:lvl>
    <w:lvl w:ilvl="4" w:tplc="1408D1B4" w:tentative="1">
      <w:start w:val="1"/>
      <w:numFmt w:val="bullet"/>
      <w:lvlText w:val="o"/>
      <w:lvlJc w:val="left"/>
      <w:pPr>
        <w:ind w:left="3600" w:hanging="360"/>
      </w:pPr>
      <w:rPr>
        <w:rFonts w:ascii="Courier New" w:hAnsi="Courier New" w:cs="Courier New" w:hint="default"/>
      </w:rPr>
    </w:lvl>
    <w:lvl w:ilvl="5" w:tplc="668C6AD6" w:tentative="1">
      <w:start w:val="1"/>
      <w:numFmt w:val="bullet"/>
      <w:lvlText w:val=""/>
      <w:lvlJc w:val="left"/>
      <w:pPr>
        <w:ind w:left="4320" w:hanging="360"/>
      </w:pPr>
      <w:rPr>
        <w:rFonts w:ascii="Wingdings" w:hAnsi="Wingdings" w:hint="default"/>
      </w:rPr>
    </w:lvl>
    <w:lvl w:ilvl="6" w:tplc="FCF2847C" w:tentative="1">
      <w:start w:val="1"/>
      <w:numFmt w:val="bullet"/>
      <w:lvlText w:val=""/>
      <w:lvlJc w:val="left"/>
      <w:pPr>
        <w:ind w:left="5040" w:hanging="360"/>
      </w:pPr>
      <w:rPr>
        <w:rFonts w:ascii="Symbol" w:hAnsi="Symbol" w:hint="default"/>
      </w:rPr>
    </w:lvl>
    <w:lvl w:ilvl="7" w:tplc="E7FE9D58" w:tentative="1">
      <w:start w:val="1"/>
      <w:numFmt w:val="bullet"/>
      <w:lvlText w:val="o"/>
      <w:lvlJc w:val="left"/>
      <w:pPr>
        <w:ind w:left="5760" w:hanging="360"/>
      </w:pPr>
      <w:rPr>
        <w:rFonts w:ascii="Courier New" w:hAnsi="Courier New" w:cs="Courier New" w:hint="default"/>
      </w:rPr>
    </w:lvl>
    <w:lvl w:ilvl="8" w:tplc="A3462894"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1"/>
  </w:num>
  <w:num w:numId="4">
    <w:abstractNumId w:val="2"/>
  </w:num>
  <w:num w:numId="5">
    <w:abstractNumId w:val="19"/>
  </w:num>
  <w:num w:numId="6">
    <w:abstractNumId w:val="3"/>
  </w:num>
  <w:num w:numId="7">
    <w:abstractNumId w:val="10"/>
  </w:num>
  <w:num w:numId="8">
    <w:abstractNumId w:val="17"/>
  </w:num>
  <w:num w:numId="9">
    <w:abstractNumId w:val="4"/>
  </w:num>
  <w:num w:numId="10">
    <w:abstractNumId w:val="20"/>
  </w:num>
  <w:num w:numId="11">
    <w:abstractNumId w:val="7"/>
  </w:num>
  <w:num w:numId="12">
    <w:abstractNumId w:val="8"/>
  </w:num>
  <w:num w:numId="13">
    <w:abstractNumId w:val="18"/>
  </w:num>
  <w:num w:numId="14">
    <w:abstractNumId w:val="13"/>
  </w:num>
  <w:num w:numId="15">
    <w:abstractNumId w:val="12"/>
  </w:num>
  <w:num w:numId="16">
    <w:abstractNumId w:val="5"/>
  </w:num>
  <w:num w:numId="17">
    <w:abstractNumId w:val="14"/>
  </w:num>
  <w:num w:numId="18">
    <w:abstractNumId w:val="15"/>
  </w:num>
  <w:num w:numId="19">
    <w:abstractNumId w:val="16"/>
  </w:num>
  <w:num w:numId="20">
    <w:abstractNumId w:val="9"/>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C43"/>
    <w:rsid w:val="001319B9"/>
    <w:rsid w:val="00241AE7"/>
    <w:rsid w:val="002426B5"/>
    <w:rsid w:val="00263CBE"/>
    <w:rsid w:val="00336979"/>
    <w:rsid w:val="003E6E71"/>
    <w:rsid w:val="004B26FC"/>
    <w:rsid w:val="005624C4"/>
    <w:rsid w:val="00562DA3"/>
    <w:rsid w:val="005E0FB6"/>
    <w:rsid w:val="00613DEF"/>
    <w:rsid w:val="006D08FC"/>
    <w:rsid w:val="00732228"/>
    <w:rsid w:val="008042C1"/>
    <w:rsid w:val="00894B28"/>
    <w:rsid w:val="00937AE1"/>
    <w:rsid w:val="009600AD"/>
    <w:rsid w:val="00AC1246"/>
    <w:rsid w:val="00B60966"/>
    <w:rsid w:val="00D53069"/>
    <w:rsid w:val="00E35C4F"/>
    <w:rsid w:val="00EC1E92"/>
    <w:rsid w:val="00F50C43"/>
    <w:rsid w:val="00FB45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C43"/>
  </w:style>
  <w:style w:type="paragraph" w:styleId="Heading1">
    <w:name w:val="heading 1"/>
    <w:basedOn w:val="Normal"/>
    <w:next w:val="Normal"/>
    <w:link w:val="Heading1Char"/>
    <w:uiPriority w:val="9"/>
    <w:qFormat/>
    <w:rsid w:val="005624C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00A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D5306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42C1"/>
    <w:pPr>
      <w:ind w:left="720"/>
      <w:contextualSpacing/>
    </w:pPr>
  </w:style>
  <w:style w:type="character" w:customStyle="1" w:styleId="katex-mathml">
    <w:name w:val="katex-mathml"/>
    <w:basedOn w:val="DefaultParagraphFont"/>
    <w:rsid w:val="00D53069"/>
  </w:style>
  <w:style w:type="character" w:customStyle="1" w:styleId="mord">
    <w:name w:val="mord"/>
    <w:basedOn w:val="DefaultParagraphFont"/>
    <w:rsid w:val="00D53069"/>
  </w:style>
  <w:style w:type="character" w:customStyle="1" w:styleId="mrel">
    <w:name w:val="mrel"/>
    <w:basedOn w:val="DefaultParagraphFont"/>
    <w:rsid w:val="00D53069"/>
  </w:style>
  <w:style w:type="character" w:customStyle="1" w:styleId="vlist-s">
    <w:name w:val="vlist-s"/>
    <w:basedOn w:val="DefaultParagraphFont"/>
    <w:rsid w:val="00D53069"/>
  </w:style>
  <w:style w:type="character" w:customStyle="1" w:styleId="Heading3Char">
    <w:name w:val="Heading 3 Char"/>
    <w:basedOn w:val="DefaultParagraphFont"/>
    <w:link w:val="Heading3"/>
    <w:uiPriority w:val="9"/>
    <w:rsid w:val="00D5306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530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DefaultParagraphFont"/>
    <w:rsid w:val="00D53069"/>
  </w:style>
  <w:style w:type="character" w:customStyle="1" w:styleId="Heading1Char">
    <w:name w:val="Heading 1 Char"/>
    <w:basedOn w:val="DefaultParagraphFont"/>
    <w:link w:val="Heading1"/>
    <w:uiPriority w:val="9"/>
    <w:rsid w:val="005624C4"/>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5624C4"/>
  </w:style>
  <w:style w:type="paragraph" w:styleId="TOCHeading">
    <w:name w:val="TOC Heading"/>
    <w:basedOn w:val="Heading1"/>
    <w:next w:val="Normal"/>
    <w:uiPriority w:val="39"/>
    <w:unhideWhenUsed/>
    <w:qFormat/>
    <w:rsid w:val="005624C4"/>
    <w:pPr>
      <w:outlineLvl w:val="9"/>
    </w:pPr>
  </w:style>
  <w:style w:type="paragraph" w:styleId="TOC1">
    <w:name w:val="toc 1"/>
    <w:basedOn w:val="Normal"/>
    <w:next w:val="Normal"/>
    <w:autoRedefine/>
    <w:uiPriority w:val="39"/>
    <w:unhideWhenUsed/>
    <w:rsid w:val="005624C4"/>
    <w:pPr>
      <w:spacing w:after="100"/>
    </w:pPr>
  </w:style>
  <w:style w:type="character" w:styleId="Hyperlink">
    <w:name w:val="Hyperlink"/>
    <w:basedOn w:val="DefaultParagraphFont"/>
    <w:uiPriority w:val="99"/>
    <w:unhideWhenUsed/>
    <w:rsid w:val="005624C4"/>
    <w:rPr>
      <w:color w:val="0563C1" w:themeColor="hyperlink"/>
      <w:u w:val="single"/>
    </w:rPr>
  </w:style>
  <w:style w:type="paragraph" w:styleId="BalloonText">
    <w:name w:val="Balloon Text"/>
    <w:basedOn w:val="Normal"/>
    <w:link w:val="BalloonTextChar"/>
    <w:uiPriority w:val="99"/>
    <w:semiHidden/>
    <w:unhideWhenUsed/>
    <w:rsid w:val="009600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0AD"/>
    <w:rPr>
      <w:rFonts w:ascii="Tahoma" w:hAnsi="Tahoma" w:cs="Tahoma"/>
      <w:sz w:val="16"/>
      <w:szCs w:val="16"/>
    </w:rPr>
  </w:style>
  <w:style w:type="character" w:customStyle="1" w:styleId="Heading2Char">
    <w:name w:val="Heading 2 Char"/>
    <w:basedOn w:val="DefaultParagraphFont"/>
    <w:link w:val="Heading2"/>
    <w:uiPriority w:val="9"/>
    <w:rsid w:val="009600AD"/>
    <w:rPr>
      <w:rFonts w:asciiTheme="majorHAnsi" w:eastAsiaTheme="majorEastAsia" w:hAnsiTheme="majorHAnsi" w:cstheme="majorBidi"/>
      <w:b/>
      <w:bCs/>
      <w:color w:val="4472C4" w:themeColor="accent1"/>
      <w:sz w:val="26"/>
      <w:szCs w:val="26"/>
    </w:rPr>
  </w:style>
  <w:style w:type="character" w:styleId="Strong">
    <w:name w:val="Strong"/>
    <w:basedOn w:val="DefaultParagraphFont"/>
    <w:uiPriority w:val="22"/>
    <w:qFormat/>
    <w:rsid w:val="009600AD"/>
    <w:rPr>
      <w:b/>
      <w:bCs/>
    </w:rPr>
  </w:style>
  <w:style w:type="paragraph" w:styleId="TOC2">
    <w:name w:val="toc 2"/>
    <w:basedOn w:val="Normal"/>
    <w:next w:val="Normal"/>
    <w:autoRedefine/>
    <w:uiPriority w:val="39"/>
    <w:unhideWhenUsed/>
    <w:rsid w:val="00263CBE"/>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C43"/>
  </w:style>
  <w:style w:type="paragraph" w:styleId="Heading1">
    <w:name w:val="heading 1"/>
    <w:basedOn w:val="Normal"/>
    <w:next w:val="Normal"/>
    <w:link w:val="Heading1Char"/>
    <w:uiPriority w:val="9"/>
    <w:qFormat/>
    <w:rsid w:val="005624C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00A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D5306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42C1"/>
    <w:pPr>
      <w:ind w:left="720"/>
      <w:contextualSpacing/>
    </w:pPr>
  </w:style>
  <w:style w:type="character" w:customStyle="1" w:styleId="katex-mathml">
    <w:name w:val="katex-mathml"/>
    <w:basedOn w:val="DefaultParagraphFont"/>
    <w:rsid w:val="00D53069"/>
  </w:style>
  <w:style w:type="character" w:customStyle="1" w:styleId="mord">
    <w:name w:val="mord"/>
    <w:basedOn w:val="DefaultParagraphFont"/>
    <w:rsid w:val="00D53069"/>
  </w:style>
  <w:style w:type="character" w:customStyle="1" w:styleId="mrel">
    <w:name w:val="mrel"/>
    <w:basedOn w:val="DefaultParagraphFont"/>
    <w:rsid w:val="00D53069"/>
  </w:style>
  <w:style w:type="character" w:customStyle="1" w:styleId="vlist-s">
    <w:name w:val="vlist-s"/>
    <w:basedOn w:val="DefaultParagraphFont"/>
    <w:rsid w:val="00D53069"/>
  </w:style>
  <w:style w:type="character" w:customStyle="1" w:styleId="Heading3Char">
    <w:name w:val="Heading 3 Char"/>
    <w:basedOn w:val="DefaultParagraphFont"/>
    <w:link w:val="Heading3"/>
    <w:uiPriority w:val="9"/>
    <w:rsid w:val="00D5306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530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DefaultParagraphFont"/>
    <w:rsid w:val="00D53069"/>
  </w:style>
  <w:style w:type="character" w:customStyle="1" w:styleId="Heading1Char">
    <w:name w:val="Heading 1 Char"/>
    <w:basedOn w:val="DefaultParagraphFont"/>
    <w:link w:val="Heading1"/>
    <w:uiPriority w:val="9"/>
    <w:rsid w:val="005624C4"/>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5624C4"/>
  </w:style>
  <w:style w:type="paragraph" w:styleId="TOCHeading">
    <w:name w:val="TOC Heading"/>
    <w:basedOn w:val="Heading1"/>
    <w:next w:val="Normal"/>
    <w:uiPriority w:val="39"/>
    <w:unhideWhenUsed/>
    <w:qFormat/>
    <w:rsid w:val="005624C4"/>
    <w:pPr>
      <w:outlineLvl w:val="9"/>
    </w:pPr>
  </w:style>
  <w:style w:type="paragraph" w:styleId="TOC1">
    <w:name w:val="toc 1"/>
    <w:basedOn w:val="Normal"/>
    <w:next w:val="Normal"/>
    <w:autoRedefine/>
    <w:uiPriority w:val="39"/>
    <w:unhideWhenUsed/>
    <w:rsid w:val="005624C4"/>
    <w:pPr>
      <w:spacing w:after="100"/>
    </w:pPr>
  </w:style>
  <w:style w:type="character" w:styleId="Hyperlink">
    <w:name w:val="Hyperlink"/>
    <w:basedOn w:val="DefaultParagraphFont"/>
    <w:uiPriority w:val="99"/>
    <w:unhideWhenUsed/>
    <w:rsid w:val="005624C4"/>
    <w:rPr>
      <w:color w:val="0563C1" w:themeColor="hyperlink"/>
      <w:u w:val="single"/>
    </w:rPr>
  </w:style>
  <w:style w:type="paragraph" w:styleId="BalloonText">
    <w:name w:val="Balloon Text"/>
    <w:basedOn w:val="Normal"/>
    <w:link w:val="BalloonTextChar"/>
    <w:uiPriority w:val="99"/>
    <w:semiHidden/>
    <w:unhideWhenUsed/>
    <w:rsid w:val="009600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0AD"/>
    <w:rPr>
      <w:rFonts w:ascii="Tahoma" w:hAnsi="Tahoma" w:cs="Tahoma"/>
      <w:sz w:val="16"/>
      <w:szCs w:val="16"/>
    </w:rPr>
  </w:style>
  <w:style w:type="character" w:customStyle="1" w:styleId="Heading2Char">
    <w:name w:val="Heading 2 Char"/>
    <w:basedOn w:val="DefaultParagraphFont"/>
    <w:link w:val="Heading2"/>
    <w:uiPriority w:val="9"/>
    <w:rsid w:val="009600AD"/>
    <w:rPr>
      <w:rFonts w:asciiTheme="majorHAnsi" w:eastAsiaTheme="majorEastAsia" w:hAnsiTheme="majorHAnsi" w:cstheme="majorBidi"/>
      <w:b/>
      <w:bCs/>
      <w:color w:val="4472C4" w:themeColor="accent1"/>
      <w:sz w:val="26"/>
      <w:szCs w:val="26"/>
    </w:rPr>
  </w:style>
  <w:style w:type="character" w:styleId="Strong">
    <w:name w:val="Strong"/>
    <w:basedOn w:val="DefaultParagraphFont"/>
    <w:uiPriority w:val="22"/>
    <w:qFormat/>
    <w:rsid w:val="009600AD"/>
    <w:rPr>
      <w:b/>
      <w:bCs/>
    </w:rPr>
  </w:style>
  <w:style w:type="paragraph" w:styleId="TOC2">
    <w:name w:val="toc 2"/>
    <w:basedOn w:val="Normal"/>
    <w:next w:val="Normal"/>
    <w:autoRedefine/>
    <w:uiPriority w:val="39"/>
    <w:unhideWhenUsed/>
    <w:rsid w:val="00263CB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33074">
      <w:bodyDiv w:val="1"/>
      <w:marLeft w:val="0"/>
      <w:marRight w:val="0"/>
      <w:marTop w:val="0"/>
      <w:marBottom w:val="0"/>
      <w:divBdr>
        <w:top w:val="none" w:sz="0" w:space="0" w:color="auto"/>
        <w:left w:val="none" w:sz="0" w:space="0" w:color="auto"/>
        <w:bottom w:val="none" w:sz="0" w:space="0" w:color="auto"/>
        <w:right w:val="none" w:sz="0" w:space="0" w:color="auto"/>
      </w:divBdr>
    </w:div>
    <w:div w:id="78522177">
      <w:bodyDiv w:val="1"/>
      <w:marLeft w:val="0"/>
      <w:marRight w:val="0"/>
      <w:marTop w:val="0"/>
      <w:marBottom w:val="0"/>
      <w:divBdr>
        <w:top w:val="none" w:sz="0" w:space="0" w:color="auto"/>
        <w:left w:val="none" w:sz="0" w:space="0" w:color="auto"/>
        <w:bottom w:val="none" w:sz="0" w:space="0" w:color="auto"/>
        <w:right w:val="none" w:sz="0" w:space="0" w:color="auto"/>
      </w:divBdr>
    </w:div>
    <w:div w:id="134490135">
      <w:bodyDiv w:val="1"/>
      <w:marLeft w:val="0"/>
      <w:marRight w:val="0"/>
      <w:marTop w:val="0"/>
      <w:marBottom w:val="0"/>
      <w:divBdr>
        <w:top w:val="none" w:sz="0" w:space="0" w:color="auto"/>
        <w:left w:val="none" w:sz="0" w:space="0" w:color="auto"/>
        <w:bottom w:val="none" w:sz="0" w:space="0" w:color="auto"/>
        <w:right w:val="none" w:sz="0" w:space="0" w:color="auto"/>
      </w:divBdr>
    </w:div>
    <w:div w:id="198515092">
      <w:bodyDiv w:val="1"/>
      <w:marLeft w:val="0"/>
      <w:marRight w:val="0"/>
      <w:marTop w:val="0"/>
      <w:marBottom w:val="0"/>
      <w:divBdr>
        <w:top w:val="none" w:sz="0" w:space="0" w:color="auto"/>
        <w:left w:val="none" w:sz="0" w:space="0" w:color="auto"/>
        <w:bottom w:val="none" w:sz="0" w:space="0" w:color="auto"/>
        <w:right w:val="none" w:sz="0" w:space="0" w:color="auto"/>
      </w:divBdr>
    </w:div>
    <w:div w:id="487406561">
      <w:bodyDiv w:val="1"/>
      <w:marLeft w:val="0"/>
      <w:marRight w:val="0"/>
      <w:marTop w:val="0"/>
      <w:marBottom w:val="0"/>
      <w:divBdr>
        <w:top w:val="none" w:sz="0" w:space="0" w:color="auto"/>
        <w:left w:val="none" w:sz="0" w:space="0" w:color="auto"/>
        <w:bottom w:val="none" w:sz="0" w:space="0" w:color="auto"/>
        <w:right w:val="none" w:sz="0" w:space="0" w:color="auto"/>
      </w:divBdr>
    </w:div>
    <w:div w:id="644237922">
      <w:bodyDiv w:val="1"/>
      <w:marLeft w:val="0"/>
      <w:marRight w:val="0"/>
      <w:marTop w:val="0"/>
      <w:marBottom w:val="0"/>
      <w:divBdr>
        <w:top w:val="none" w:sz="0" w:space="0" w:color="auto"/>
        <w:left w:val="none" w:sz="0" w:space="0" w:color="auto"/>
        <w:bottom w:val="none" w:sz="0" w:space="0" w:color="auto"/>
        <w:right w:val="none" w:sz="0" w:space="0" w:color="auto"/>
      </w:divBdr>
    </w:div>
    <w:div w:id="672028449">
      <w:bodyDiv w:val="1"/>
      <w:marLeft w:val="0"/>
      <w:marRight w:val="0"/>
      <w:marTop w:val="0"/>
      <w:marBottom w:val="0"/>
      <w:divBdr>
        <w:top w:val="none" w:sz="0" w:space="0" w:color="auto"/>
        <w:left w:val="none" w:sz="0" w:space="0" w:color="auto"/>
        <w:bottom w:val="none" w:sz="0" w:space="0" w:color="auto"/>
        <w:right w:val="none" w:sz="0" w:space="0" w:color="auto"/>
      </w:divBdr>
    </w:div>
    <w:div w:id="672996650">
      <w:bodyDiv w:val="1"/>
      <w:marLeft w:val="0"/>
      <w:marRight w:val="0"/>
      <w:marTop w:val="0"/>
      <w:marBottom w:val="0"/>
      <w:divBdr>
        <w:top w:val="none" w:sz="0" w:space="0" w:color="auto"/>
        <w:left w:val="none" w:sz="0" w:space="0" w:color="auto"/>
        <w:bottom w:val="none" w:sz="0" w:space="0" w:color="auto"/>
        <w:right w:val="none" w:sz="0" w:space="0" w:color="auto"/>
      </w:divBdr>
    </w:div>
    <w:div w:id="689533030">
      <w:bodyDiv w:val="1"/>
      <w:marLeft w:val="0"/>
      <w:marRight w:val="0"/>
      <w:marTop w:val="0"/>
      <w:marBottom w:val="0"/>
      <w:divBdr>
        <w:top w:val="none" w:sz="0" w:space="0" w:color="auto"/>
        <w:left w:val="none" w:sz="0" w:space="0" w:color="auto"/>
        <w:bottom w:val="none" w:sz="0" w:space="0" w:color="auto"/>
        <w:right w:val="none" w:sz="0" w:space="0" w:color="auto"/>
      </w:divBdr>
    </w:div>
    <w:div w:id="730351482">
      <w:bodyDiv w:val="1"/>
      <w:marLeft w:val="0"/>
      <w:marRight w:val="0"/>
      <w:marTop w:val="0"/>
      <w:marBottom w:val="0"/>
      <w:divBdr>
        <w:top w:val="none" w:sz="0" w:space="0" w:color="auto"/>
        <w:left w:val="none" w:sz="0" w:space="0" w:color="auto"/>
        <w:bottom w:val="none" w:sz="0" w:space="0" w:color="auto"/>
        <w:right w:val="none" w:sz="0" w:space="0" w:color="auto"/>
      </w:divBdr>
    </w:div>
    <w:div w:id="862983024">
      <w:bodyDiv w:val="1"/>
      <w:marLeft w:val="0"/>
      <w:marRight w:val="0"/>
      <w:marTop w:val="0"/>
      <w:marBottom w:val="0"/>
      <w:divBdr>
        <w:top w:val="none" w:sz="0" w:space="0" w:color="auto"/>
        <w:left w:val="none" w:sz="0" w:space="0" w:color="auto"/>
        <w:bottom w:val="none" w:sz="0" w:space="0" w:color="auto"/>
        <w:right w:val="none" w:sz="0" w:space="0" w:color="auto"/>
      </w:divBdr>
    </w:div>
    <w:div w:id="946234413">
      <w:bodyDiv w:val="1"/>
      <w:marLeft w:val="0"/>
      <w:marRight w:val="0"/>
      <w:marTop w:val="0"/>
      <w:marBottom w:val="0"/>
      <w:divBdr>
        <w:top w:val="none" w:sz="0" w:space="0" w:color="auto"/>
        <w:left w:val="none" w:sz="0" w:space="0" w:color="auto"/>
        <w:bottom w:val="none" w:sz="0" w:space="0" w:color="auto"/>
        <w:right w:val="none" w:sz="0" w:space="0" w:color="auto"/>
      </w:divBdr>
    </w:div>
    <w:div w:id="975794561">
      <w:bodyDiv w:val="1"/>
      <w:marLeft w:val="0"/>
      <w:marRight w:val="0"/>
      <w:marTop w:val="0"/>
      <w:marBottom w:val="0"/>
      <w:divBdr>
        <w:top w:val="none" w:sz="0" w:space="0" w:color="auto"/>
        <w:left w:val="none" w:sz="0" w:space="0" w:color="auto"/>
        <w:bottom w:val="none" w:sz="0" w:space="0" w:color="auto"/>
        <w:right w:val="none" w:sz="0" w:space="0" w:color="auto"/>
      </w:divBdr>
    </w:div>
    <w:div w:id="1000548351">
      <w:bodyDiv w:val="1"/>
      <w:marLeft w:val="0"/>
      <w:marRight w:val="0"/>
      <w:marTop w:val="0"/>
      <w:marBottom w:val="0"/>
      <w:divBdr>
        <w:top w:val="none" w:sz="0" w:space="0" w:color="auto"/>
        <w:left w:val="none" w:sz="0" w:space="0" w:color="auto"/>
        <w:bottom w:val="none" w:sz="0" w:space="0" w:color="auto"/>
        <w:right w:val="none" w:sz="0" w:space="0" w:color="auto"/>
      </w:divBdr>
    </w:div>
    <w:div w:id="1117067059">
      <w:bodyDiv w:val="1"/>
      <w:marLeft w:val="0"/>
      <w:marRight w:val="0"/>
      <w:marTop w:val="0"/>
      <w:marBottom w:val="0"/>
      <w:divBdr>
        <w:top w:val="none" w:sz="0" w:space="0" w:color="auto"/>
        <w:left w:val="none" w:sz="0" w:space="0" w:color="auto"/>
        <w:bottom w:val="none" w:sz="0" w:space="0" w:color="auto"/>
        <w:right w:val="none" w:sz="0" w:space="0" w:color="auto"/>
      </w:divBdr>
    </w:div>
    <w:div w:id="1162500329">
      <w:bodyDiv w:val="1"/>
      <w:marLeft w:val="0"/>
      <w:marRight w:val="0"/>
      <w:marTop w:val="0"/>
      <w:marBottom w:val="0"/>
      <w:divBdr>
        <w:top w:val="none" w:sz="0" w:space="0" w:color="auto"/>
        <w:left w:val="none" w:sz="0" w:space="0" w:color="auto"/>
        <w:bottom w:val="none" w:sz="0" w:space="0" w:color="auto"/>
        <w:right w:val="none" w:sz="0" w:space="0" w:color="auto"/>
      </w:divBdr>
    </w:div>
    <w:div w:id="1206064067">
      <w:bodyDiv w:val="1"/>
      <w:marLeft w:val="0"/>
      <w:marRight w:val="0"/>
      <w:marTop w:val="0"/>
      <w:marBottom w:val="0"/>
      <w:divBdr>
        <w:top w:val="none" w:sz="0" w:space="0" w:color="auto"/>
        <w:left w:val="none" w:sz="0" w:space="0" w:color="auto"/>
        <w:bottom w:val="none" w:sz="0" w:space="0" w:color="auto"/>
        <w:right w:val="none" w:sz="0" w:space="0" w:color="auto"/>
      </w:divBdr>
    </w:div>
    <w:div w:id="1222405528">
      <w:bodyDiv w:val="1"/>
      <w:marLeft w:val="0"/>
      <w:marRight w:val="0"/>
      <w:marTop w:val="0"/>
      <w:marBottom w:val="0"/>
      <w:divBdr>
        <w:top w:val="none" w:sz="0" w:space="0" w:color="auto"/>
        <w:left w:val="none" w:sz="0" w:space="0" w:color="auto"/>
        <w:bottom w:val="none" w:sz="0" w:space="0" w:color="auto"/>
        <w:right w:val="none" w:sz="0" w:space="0" w:color="auto"/>
      </w:divBdr>
    </w:div>
    <w:div w:id="1254124904">
      <w:bodyDiv w:val="1"/>
      <w:marLeft w:val="0"/>
      <w:marRight w:val="0"/>
      <w:marTop w:val="0"/>
      <w:marBottom w:val="0"/>
      <w:divBdr>
        <w:top w:val="none" w:sz="0" w:space="0" w:color="auto"/>
        <w:left w:val="none" w:sz="0" w:space="0" w:color="auto"/>
        <w:bottom w:val="none" w:sz="0" w:space="0" w:color="auto"/>
        <w:right w:val="none" w:sz="0" w:space="0" w:color="auto"/>
      </w:divBdr>
    </w:div>
    <w:div w:id="1263416329">
      <w:bodyDiv w:val="1"/>
      <w:marLeft w:val="0"/>
      <w:marRight w:val="0"/>
      <w:marTop w:val="0"/>
      <w:marBottom w:val="0"/>
      <w:divBdr>
        <w:top w:val="none" w:sz="0" w:space="0" w:color="auto"/>
        <w:left w:val="none" w:sz="0" w:space="0" w:color="auto"/>
        <w:bottom w:val="none" w:sz="0" w:space="0" w:color="auto"/>
        <w:right w:val="none" w:sz="0" w:space="0" w:color="auto"/>
      </w:divBdr>
    </w:div>
    <w:div w:id="1286814858">
      <w:bodyDiv w:val="1"/>
      <w:marLeft w:val="0"/>
      <w:marRight w:val="0"/>
      <w:marTop w:val="0"/>
      <w:marBottom w:val="0"/>
      <w:divBdr>
        <w:top w:val="none" w:sz="0" w:space="0" w:color="auto"/>
        <w:left w:val="none" w:sz="0" w:space="0" w:color="auto"/>
        <w:bottom w:val="none" w:sz="0" w:space="0" w:color="auto"/>
        <w:right w:val="none" w:sz="0" w:space="0" w:color="auto"/>
      </w:divBdr>
    </w:div>
    <w:div w:id="1327593033">
      <w:bodyDiv w:val="1"/>
      <w:marLeft w:val="0"/>
      <w:marRight w:val="0"/>
      <w:marTop w:val="0"/>
      <w:marBottom w:val="0"/>
      <w:divBdr>
        <w:top w:val="none" w:sz="0" w:space="0" w:color="auto"/>
        <w:left w:val="none" w:sz="0" w:space="0" w:color="auto"/>
        <w:bottom w:val="none" w:sz="0" w:space="0" w:color="auto"/>
        <w:right w:val="none" w:sz="0" w:space="0" w:color="auto"/>
      </w:divBdr>
    </w:div>
    <w:div w:id="1415475620">
      <w:bodyDiv w:val="1"/>
      <w:marLeft w:val="0"/>
      <w:marRight w:val="0"/>
      <w:marTop w:val="0"/>
      <w:marBottom w:val="0"/>
      <w:divBdr>
        <w:top w:val="none" w:sz="0" w:space="0" w:color="auto"/>
        <w:left w:val="none" w:sz="0" w:space="0" w:color="auto"/>
        <w:bottom w:val="none" w:sz="0" w:space="0" w:color="auto"/>
        <w:right w:val="none" w:sz="0" w:space="0" w:color="auto"/>
      </w:divBdr>
    </w:div>
    <w:div w:id="1431898071">
      <w:bodyDiv w:val="1"/>
      <w:marLeft w:val="0"/>
      <w:marRight w:val="0"/>
      <w:marTop w:val="0"/>
      <w:marBottom w:val="0"/>
      <w:divBdr>
        <w:top w:val="none" w:sz="0" w:space="0" w:color="auto"/>
        <w:left w:val="none" w:sz="0" w:space="0" w:color="auto"/>
        <w:bottom w:val="none" w:sz="0" w:space="0" w:color="auto"/>
        <w:right w:val="none" w:sz="0" w:space="0" w:color="auto"/>
      </w:divBdr>
    </w:div>
    <w:div w:id="1462917000">
      <w:bodyDiv w:val="1"/>
      <w:marLeft w:val="0"/>
      <w:marRight w:val="0"/>
      <w:marTop w:val="0"/>
      <w:marBottom w:val="0"/>
      <w:divBdr>
        <w:top w:val="none" w:sz="0" w:space="0" w:color="auto"/>
        <w:left w:val="none" w:sz="0" w:space="0" w:color="auto"/>
        <w:bottom w:val="none" w:sz="0" w:space="0" w:color="auto"/>
        <w:right w:val="none" w:sz="0" w:space="0" w:color="auto"/>
      </w:divBdr>
    </w:div>
    <w:div w:id="1473789028">
      <w:bodyDiv w:val="1"/>
      <w:marLeft w:val="0"/>
      <w:marRight w:val="0"/>
      <w:marTop w:val="0"/>
      <w:marBottom w:val="0"/>
      <w:divBdr>
        <w:top w:val="none" w:sz="0" w:space="0" w:color="auto"/>
        <w:left w:val="none" w:sz="0" w:space="0" w:color="auto"/>
        <w:bottom w:val="none" w:sz="0" w:space="0" w:color="auto"/>
        <w:right w:val="none" w:sz="0" w:space="0" w:color="auto"/>
      </w:divBdr>
    </w:div>
    <w:div w:id="1536117838">
      <w:bodyDiv w:val="1"/>
      <w:marLeft w:val="0"/>
      <w:marRight w:val="0"/>
      <w:marTop w:val="0"/>
      <w:marBottom w:val="0"/>
      <w:divBdr>
        <w:top w:val="none" w:sz="0" w:space="0" w:color="auto"/>
        <w:left w:val="none" w:sz="0" w:space="0" w:color="auto"/>
        <w:bottom w:val="none" w:sz="0" w:space="0" w:color="auto"/>
        <w:right w:val="none" w:sz="0" w:space="0" w:color="auto"/>
      </w:divBdr>
    </w:div>
    <w:div w:id="1587107782">
      <w:bodyDiv w:val="1"/>
      <w:marLeft w:val="0"/>
      <w:marRight w:val="0"/>
      <w:marTop w:val="0"/>
      <w:marBottom w:val="0"/>
      <w:divBdr>
        <w:top w:val="none" w:sz="0" w:space="0" w:color="auto"/>
        <w:left w:val="none" w:sz="0" w:space="0" w:color="auto"/>
        <w:bottom w:val="none" w:sz="0" w:space="0" w:color="auto"/>
        <w:right w:val="none" w:sz="0" w:space="0" w:color="auto"/>
      </w:divBdr>
    </w:div>
    <w:div w:id="1589919730">
      <w:bodyDiv w:val="1"/>
      <w:marLeft w:val="0"/>
      <w:marRight w:val="0"/>
      <w:marTop w:val="0"/>
      <w:marBottom w:val="0"/>
      <w:divBdr>
        <w:top w:val="none" w:sz="0" w:space="0" w:color="auto"/>
        <w:left w:val="none" w:sz="0" w:space="0" w:color="auto"/>
        <w:bottom w:val="none" w:sz="0" w:space="0" w:color="auto"/>
        <w:right w:val="none" w:sz="0" w:space="0" w:color="auto"/>
      </w:divBdr>
    </w:div>
    <w:div w:id="1616986784">
      <w:bodyDiv w:val="1"/>
      <w:marLeft w:val="0"/>
      <w:marRight w:val="0"/>
      <w:marTop w:val="0"/>
      <w:marBottom w:val="0"/>
      <w:divBdr>
        <w:top w:val="none" w:sz="0" w:space="0" w:color="auto"/>
        <w:left w:val="none" w:sz="0" w:space="0" w:color="auto"/>
        <w:bottom w:val="none" w:sz="0" w:space="0" w:color="auto"/>
        <w:right w:val="none" w:sz="0" w:space="0" w:color="auto"/>
      </w:divBdr>
    </w:div>
    <w:div w:id="1790777200">
      <w:bodyDiv w:val="1"/>
      <w:marLeft w:val="0"/>
      <w:marRight w:val="0"/>
      <w:marTop w:val="0"/>
      <w:marBottom w:val="0"/>
      <w:divBdr>
        <w:top w:val="none" w:sz="0" w:space="0" w:color="auto"/>
        <w:left w:val="none" w:sz="0" w:space="0" w:color="auto"/>
        <w:bottom w:val="none" w:sz="0" w:space="0" w:color="auto"/>
        <w:right w:val="none" w:sz="0" w:space="0" w:color="auto"/>
      </w:divBdr>
    </w:div>
    <w:div w:id="1805582598">
      <w:bodyDiv w:val="1"/>
      <w:marLeft w:val="0"/>
      <w:marRight w:val="0"/>
      <w:marTop w:val="0"/>
      <w:marBottom w:val="0"/>
      <w:divBdr>
        <w:top w:val="none" w:sz="0" w:space="0" w:color="auto"/>
        <w:left w:val="none" w:sz="0" w:space="0" w:color="auto"/>
        <w:bottom w:val="none" w:sz="0" w:space="0" w:color="auto"/>
        <w:right w:val="none" w:sz="0" w:space="0" w:color="auto"/>
      </w:divBdr>
    </w:div>
    <w:div w:id="2040549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DeC24</b:Tag>
    <b:SourceType>JournalArticle</b:SourceType>
    <b:Guid>{D1F303A1-068F-43DC-A177-1F531DA67AC4}</b:Guid>
    <b:Author>
      <b:Author>
        <b:NameList>
          <b:Person>
            <b:Last>Cruz</b:Last>
            <b:First>De</b:First>
          </b:Person>
        </b:NameList>
      </b:Author>
    </b:Author>
    <b:Title>Comparative law in a changing world</b:Title>
    <b:JournalName>Taylor &amp; Francis</b:JournalName>
    <b:Year>2024</b:Year>
    <b:RefOrder>1</b:RefOrder>
  </b:Source>
  <b:Source>
    <b:Tag>All23</b:Tag>
    <b:SourceType>JournalArticle</b:SourceType>
    <b:Guid>{A3217EE7-953C-4665-B372-38670C3879D1}</b:Guid>
    <b:Author>
      <b:Author>
        <b:NameList>
          <b:Person>
            <b:Last>Allioui</b:Last>
            <b:First>H.</b:First>
            <b:Middle>and Mourdi</b:Middle>
          </b:Person>
        </b:NameList>
      </b:Author>
    </b:Author>
    <b:Title>Exploring the full potentials of IoT for better financial growth and stability: A comprehensive survey. </b:Title>
    <b:JournalName>Sensors</b:JournalName>
    <b:Year>2023</b:Year>
    <b:Pages>p.8015.</b:Pages>
    <b:Volume>23(19),</b:Volume>
    <b:RefOrder>2</b:RefOrder>
  </b:Source>
  <b:Source>
    <b:Tag>Egb24</b:Tag>
    <b:SourceType>JournalArticle</b:SourceType>
    <b:Guid>{CDEC0B4D-28EA-48DD-8359-22D81D7012EF}</b:Guid>
    <b:Author>
      <b:Author>
        <b:NameList>
          <b:Person>
            <b:Last>Egbunike-Umegbolu</b:Last>
          </b:Person>
        </b:NameList>
      </b:Author>
    </b:Author>
    <b:Title>Contemporary Overview of Appropriate Dispute Resolution (ADR). Appropriate Dispute Resolution in Comparative Perspectives: Nigeria, the UK, and the US</b:Title>
    <b:Year>2024</b:Year>
    <b:Pages>pp.1-28.</b:Pages>
    <b:RefOrder>3</b:RefOrder>
  </b:Source>
  <b:Source>
    <b:Tag>Gri20</b:Tag>
    <b:SourceType>JournalArticle</b:SourceType>
    <b:Guid>{2AF7BA7D-EFFC-4F63-8388-2509FFE50C8E}</b:Guid>
    <b:Author>
      <b:Author>
        <b:NameList>
          <b:Person>
            <b:Last>Griffin</b:Last>
            <b:First>L.</b:First>
            <b:Middle>and Kidney,</b:Middle>
          </b:Person>
        </b:NameList>
      </b:Author>
    </b:Author>
    <b:Title>Comparative Judicialism, Popular Sovereignty, and the Rule of Law: The US and UK Supreme Courts.</b:Title>
    <b:JournalName>Wash. &amp; Lee L. Rev. </b:JournalName>
    <b:Year>2020</b:Year>
    <b:Pages>p.323.</b:Pages>
    <b:Volume>Online, 77</b:Volume>
    <b:RefOrder>4</b:RefOrder>
  </b:Source>
  <b:Source>
    <b:Tag>Gei20</b:Tag>
    <b:SourceType>JournalArticle</b:SourceType>
    <b:Guid>{27C1C030-0B97-42BB-851F-D80F2B181E72}</b:Guid>
    <b:Author>
      <b:Author>
        <b:NameList>
          <b:Person>
            <b:Last>Geistfeld</b:Last>
          </b:Person>
        </b:NameList>
      </b:Author>
    </b:Author>
    <b:Title> Tort law and civil recourse</b:Title>
    <b:JournalName> Mich. L. Rev.</b:JournalName>
    <b:Year>2020</b:Year>
    <b:Pages>p.1289.</b:Pages>
    <b:Volume>119</b:Volume>
    <b:RefOrder>5</b:RefOrder>
  </b:Source>
  <b:Source>
    <b:Tag>Lei21</b:Tag>
    <b:SourceType>JournalArticle</b:SourceType>
    <b:Guid>{BEEB258E-8450-4F62-9D98-5018F7AB1FAD}</b:Guid>
    <b:Author>
      <b:Author>
        <b:NameList>
          <b:Person>
            <b:Last>Leider</b:Last>
          </b:Person>
        </b:NameList>
      </b:Author>
    </b:Author>
    <b:Title>The modern common law of crime. The Journal of Criminal Law and Criminology (1973-)</b:Title>
    <b:Year>2021</b:Year>
    <b:Pages>pp.407-499.</b:Pages>
    <b:Volume>111(2),</b:Volume>
    <b:RefOrder>6</b:RefOrder>
  </b:Source>
  <b:Source>
    <b:Tag>Gil24</b:Tag>
    <b:SourceType>JournalArticle</b:SourceType>
    <b:Guid>{E5EB676B-EF67-4EC5-BF97-E3D32FA11D6F}</b:Guid>
    <b:Author>
      <b:Author>
        <b:NameList>
          <b:Person>
            <b:Last>Gilson</b:Last>
          </b:Person>
        </b:NameList>
      </b:Author>
    </b:Author>
    <b:Title>Privacy and Precedent: Exploring the Factors Influencing the US Supreme Court’s Departures from Precedent. The Undergraduate Law Review at UC San Diego, </b:Title>
    <b:Year>2024</b:Year>
    <b:Volume>2(1).</b:Volume>
    <b:RefOrder>7</b:RefOrder>
  </b:Source>
  <b:Source>
    <b:Tag>Que20</b:Tag>
    <b:SourceType>InternetSite</b:SourceType>
    <b:Guid>{6B9BD895-C5FD-4334-854A-9A5BAEE14879}</b:Guid>
    <b:Author>
      <b:Author>
        <b:NameList>
          <b:Person>
            <b:Last>January</b:Last>
            <b:First>Questions</b:First>
            <b:Middle>and Answers on the United Kingdom’s withdrawal from the European Union on 31</b:Middle>
          </b:Person>
        </b:NameList>
      </b:Author>
    </b:Author>
    <b:Title>European Commission - European Commission. (2024).</b:Title>
    <b:Year>2020</b:Year>
    <b:YearAccessed>[Accessed 9 Dec. 2024]</b:YearAccessed>
    <b:MonthAccessed>Dec</b:MonthAccessed>
    <b:DayAccessed>Monday</b:DayAccessed>
    <b:URL>https://ec.europa.eu/commission/presscorner/detail/en/qanda_20_104</b:URL>
    <b:RefOrder>8</b:RefOrder>
  </b:Source>
  <b:Source>
    <b:Tag>Wha24</b:Tag>
    <b:SourceType>InternetSite</b:SourceType>
    <b:Guid>{B5CC1B31-2984-4F0A-98F1-28442576E633}</b:Guid>
    <b:Author>
      <b:Author>
        <b:NameList>
          <b:Person>
            <b:Last>[online]</b:Last>
            <b:First>What</b:First>
            <b:Middle>is an Act of Parliament?</b:Middle>
          </b:Person>
        </b:NameList>
      </b:Author>
    </b:Author>
    <b:Title>Parliament.uk. </b:Title>
    <b:Year>(2024). </b:Year>
    <b:YearAccessed>(2024). </b:YearAccessed>
    <b:MonthAccessed>Dec</b:MonthAccessed>
    <b:DayAccessed>Monday</b:DayAccessed>
    <b:URL>https://www.parliament.uk/about/how/laws/acts/ </b:URL>
    <b:RefOrder>9</b:RefOrder>
  </b:Source>
  <b:Source>
    <b:Tag>Bal22</b:Tag>
    <b:SourceType>JournalArticle</b:SourceType>
    <b:Guid>{4A08A741-40EC-4EFA-ACE5-71C7E3A47C52}</b:Guid>
    <b:Author>
      <b:Author>
        <b:NameList>
          <b:Person>
            <b:Last>Baldini</b:Last>
          </b:Person>
          <b:Person>
            <b:Last>Bressanelli</b:Last>
          </b:Person>
          <b:Person>
            <b:Last>and Massetti</b:Last>
          </b:Person>
        </b:NameList>
      </b:Author>
    </b:Author>
    <b:Title>Back to the Westminster model? The Brexit process and the UK political system.</b:Title>
    <b:Year>2022</b:Year>
    <b:JournalName> International Political Science Review</b:JournalName>
    <b:Pages>pp.329-344.</b:Pages>
    <b:Volume>43(3), </b:Volume>
    <b:RefOrder>10</b:RefOrder>
  </b:Source>
  <b:Source>
    <b:Tag>Wir24</b:Tag>
    <b:SourceType>JournalArticle</b:SourceType>
    <b:Guid>{3B888850-6FAB-47DA-8BD1-C8CF064FEFAA}</b:Guid>
    <b:Author>
      <b:Author>
        <b:NameList>
          <b:Person>
            <b:Last>Wirba</b:Last>
          </b:Person>
        </b:NameList>
      </b:Author>
    </b:Author>
    <b:Title>Corporate social responsibility (CSR): The role of government in promoting CSR. </b:Title>
    <b:JournalName>Journal of the Knowledge Economy</b:JournalName>
    <b:Year> 2024</b:Year>
    <b:Pages>pp.7428-7454.</b:Pages>
    <b:Volume>15(2), </b:Volume>
    <b:RefOrder>11</b:RefOrder>
  </b:Source>
  <b:Source>
    <b:Tag>Leg24</b:Tag>
    <b:SourceType>InternetSite</b:SourceType>
    <b:Guid>{5BB6B351-A52C-495A-BDD8-1A4172CB3B99}</b:Guid>
    <b:Title>Legislation.gov.uk. Companies Act 2006. </b:Title>
    <b:Year>(2024)</b:Year>
    <b:Author>
      <b:Author>
        <b:NameList>
          <b:Person>
            <b:Last>(Legislation.gov.uk.</b:Last>
            <b:First>2024)</b:First>
          </b:Person>
        </b:NameList>
      </b:Author>
    </b:Author>
    <b:YearAccessed>2024</b:YearAccessed>
    <b:MonthAccessed>Dec</b:MonthAccessed>
    <b:DayAccessed>Monday</b:DayAccessed>
    <b:URL>https://www.legislation.gov.uk/ukpga/2006/46/contents</b:URL>
    <b:RefOrder>12</b:RefOrder>
  </b:Source>
  <b:Source>
    <b:Tag>Lar20</b:Tag>
    <b:SourceType>Report</b:SourceType>
    <b:Guid>{4B228102-45AB-49D1-81F7-6E978AA3CC46}</b:Guid>
    <b:Title>Corporate governance matters</b:Title>
    <b:Year>2020.</b:Year>
    <b:Author>
      <b:Author>
        <b:NameList>
          <b:Person>
            <b:Last>Larcker</b:Last>
            <b:First>D.</b:First>
            <b:Middle>and Tayan, B.,</b:Middle>
          </b:Person>
        </b:NameList>
      </b:Author>
    </b:Author>
    <b:Publisher>FT Press.</b:Publisher>
    <b:RefOrder>13</b:RefOrder>
  </b:Source>
  <b:Source>
    <b:Tag>Wan20</b:Tag>
    <b:SourceType>JournalArticle</b:SourceType>
    <b:Guid>{F60100BE-7795-47A5-B8C6-26A564F7FEBB}</b:Guid>
    <b:Title>Corporate governance mechanisms and firm performance: evidence from the emerging market following the revised CG code. </b:Title>
    <b:Year> 2020</b:Year>
    <b:Author>
      <b:Author>
        <b:NameList>
          <b:Person>
            <b:Last>Wang</b:Last>
          </b:Person>
          <b:Person>
            <b:Last>Abbasi</b:Last>
          </b:Person>
          <b:Person>
            <b:Last>Babajide</b:Last>
          </b:Person>
          <b:Person>
            <b:Last>and Yekini</b:Last>
          </b:Person>
        </b:NameList>
      </b:Author>
    </b:Author>
    <b:JournalName>Corporate Governance: The international journal of business in society</b:JournalName>
    <b:Volume>20(1)</b:Volume>
    <b:RefOrder>14</b:RefOrder>
  </b:Source>
  <b:Source>
    <b:Tag>Web21</b:Tag>
    <b:SourceType>JournalArticle</b:SourceType>
    <b:Guid>{5D9B7B3D-DF9C-4F7A-ADE5-37D6D1067548}</b:Guid>
    <b:Author>
      <b:Author>
        <b:NameList>
          <b:Person>
            <b:Last>Weber-Lewerenz</b:Last>
          </b:Person>
        </b:NameList>
      </b:Author>
    </b:Author>
    <b:Title>Corporate digital responsibility (CDR) in construction engineering—ethical guidelines for the application of digital transformation and artificial intelligence (AI) in user practice. </b:Title>
    <b:JournalName>SN Applied Sciences</b:JournalName>
    <b:Year>2021</b:Year>
    <b:Pages>pp.1-25.</b:Pages>
    <b:Volume>3, </b:Volume>
    <b:RefOrder>15</b:RefOrder>
  </b:Source>
  <b:Source>
    <b:Tag>Mit20</b:Tag>
    <b:SourceType>JournalArticle</b:SourceType>
    <b:Guid>{D060C0C1-6657-4531-B9C1-1609983C0C32}</b:Guid>
    <b:Author>
      <b:Author>
        <b:NameList>
          <b:Person>
            <b:Last>Mitchell</b:Last>
          </b:Person>
        </b:NameList>
      </b:Author>
    </b:Author>
    <b:Title>Implied Terms as to Description and Misrepresentation. In Sale of Goods </b:Title>
    <b:JournalName>Informa Law from Routledge.</b:JournalName>
    <b:Year>2020. </b:Year>
    <b:Pages>pp. 317-377). </b:Pages>
    <b:RefOrder>16</b:RefOrder>
  </b:Source>
  <b:Source>
    <b:Tag>Cab20</b:Tag>
    <b:SourceType>Book</b:SourceType>
    <b:Guid>{51934418-0E49-46BB-B6C1-05D1E6713513}</b:Guid>
    <b:Title>Employment law.</b:Title>
    <b:Year>2020</b:Year>
    <b:Author>
      <b:Author>
        <b:NameList>
          <b:Person>
            <b:Last>Cabrelli</b:Last>
          </b:Person>
        </b:NameList>
      </b:Author>
    </b:Author>
    <b:City>UK.</b:City>
    <b:Publisher>Pearson</b:Publisher>
    <b:RefOrder>17</b:RefOrder>
  </b:Source>
  <b:Source>
    <b:Tag>Han24</b:Tag>
    <b:SourceType>JournalArticle</b:SourceType>
    <b:Guid>{367CD04E-F9FB-4D5A-A9AA-E7909F3108E8}</b:Guid>
    <b:Title>Equal Pay and the Equality Act 2010: An Accidental Paradox in Need of Change?.</b:Title>
    <b:Year>2024</b:Year>
    <b:Author>
      <b:Author>
        <b:NameList>
          <b:Person>
            <b:Last>Hand</b:Last>
          </b:Person>
          <b:Person>
            <b:Last>Hooton</b:Last>
            <b:First>and</b:First>
          </b:Person>
        </b:NameList>
      </b:Author>
    </b:Author>
    <b:JournalName>Liverpool Law Review</b:JournalName>
    <b:Pages>pp.105-123.</b:Pages>
    <b:Volume>45(1), </b:Volume>
    <b:RefOrder>18</b:RefOrder>
  </b:Source>
  <b:Source>
    <b:Tag>The22</b:Tag>
    <b:SourceType>Report</b:SourceType>
    <b:Guid>{E33F705C-ECAF-4D36-B316-AFDA77AE244F}</b:Guid>
    <b:Title>The protection of whistle-blowers in the public service sector Technical meeting on the protection of whistle-blowers in the public service sector.</b:Title>
    <b:Year> (2022</b:Year>
    <b:Author>
      <b:Author>
        <b:NameList>
          <b:Person>
            <b:Last>sector.).</b:Last>
            <b:First>The</b:First>
            <b:Middle>protection of whistle-blowers in the public service sector Technical meeting on the protection of whistle-blowers in the public service</b:Middle>
          </b:Person>
        </b:NameList>
      </b:Author>
    </b:Author>
    <b:Publisher>International Labor Organisation</b:Publisher>
    <b:RefOrder>19</b:RefOrder>
  </b:Source>
  <b:Source>
    <b:Tag>Hum19</b:Tag>
    <b:SourceType>InternetSite</b:SourceType>
    <b:Guid>{606CA7A5-A7A8-4DDB-877B-12B2FF2C5365}</b:Guid>
    <b:Title>Human Rights Watch</b:Title>
    <b:Year>(2019</b:Year>
    <b:Author>
      <b:Author>
        <b:NameList>
          <b:Person>
            <b:Last>Watch</b:Last>
            <b:First>Human</b:First>
            <b:Middle>Rights</b:Middle>
          </b:Person>
        </b:NameList>
      </b:Author>
    </b:Author>
    <b:YearAccessed>2024</b:YearAccessed>
    <b:MonthAccessed>Dec</b:MonthAccessed>
    <b:DayAccessed>Monday</b:DayAccessed>
    <b:URL>https://www.hrw.org/report/2019/01/23/no-room-bargain/unfair-and-abusive-labor-practices-pakistan</b:URL>
    <b:RefOrder>25</b:RefOrder>
  </b:Source>
  <b:Source>
    <b:Tag>Hum191</b:Tag>
    <b:SourceType>InternetSite</b:SourceType>
    <b:Guid>{887EEAE5-384D-4F05-AB2D-66E0F48EDA42}</b:Guid>
    <b:Author>
      <b:Author>
        <b:NameList>
          <b:Person>
            <b:Last>Watch</b:Last>
            <b:First>Human</b:First>
            <b:Middle>Rights</b:Middle>
          </b:Person>
        </b:NameList>
      </b:Author>
    </b:Author>
    <b:Title>Human Rights Watch</b:Title>
    <b:Year>(2019).</b:Year>
    <b:YearAccessed>2024</b:YearAccessed>
    <b:MonthAccessed>Dec</b:MonthAccessed>
    <b:DayAccessed>Monday</b:DayAccessed>
    <b:URL>https://www.hrw.org/report/2019/01/23/no-room-bargain/unfair-and-abusive-labor-practices-pakistan</b:URL>
    <b:RefOrder>20</b:RefOrder>
  </b:Source>
  <b:Source>
    <b:Tag>Afo21</b:Tag>
    <b:SourceType>JournalArticle</b:SourceType>
    <b:Guid>{F5498DF3-CA9E-4CE1-8977-0A1EAA9B9686}</b:Guid>
    <b:Title>Analysis of the Legal Obligation of Suppliers and Manufacturers to Consumers in Nigeria and the United Kingdom.</b:Title>
    <b:Year>2021</b:Year>
    <b:Author>
      <b:Author>
        <b:NameList>
          <b:Person>
            <b:Last>Afolayan</b:Last>
          </b:Person>
          <b:Person>
            <b:Last>Arogundade</b:Last>
            <b:First>and</b:First>
          </b:Person>
        </b:NameList>
      </b:Author>
    </b:Author>
    <b:JournalName> International Journal of Research and Innovation in Social Science,</b:JournalName>
    <b:Pages>pp.01-05.</b:Pages>
    <b:Volume>5(11), </b:Volume>
    <b:RefOrder>26</b:RefOrder>
  </b:Source>
  <b:Source>
    <b:Tag>Mil20</b:Tag>
    <b:SourceType>JournalArticle</b:SourceType>
    <b:Guid>{126B9747-9C67-44B6-ACA6-82BB5E7EF9BA}</b:Guid>
    <b:Author>
      <b:Author>
        <b:NameList>
          <b:Person>
            <b:Last>Mildred</b:Last>
          </b:Person>
        </b:NameList>
      </b:Author>
    </b:Author>
    <b:Title>Introduction to the Law of Product Liability. In Product Liability</b:Title>
    <b:JournalName>Informa Law from Routledge.</b:JournalName>
    <b:Year>2020</b:Year>
    <b:Pages> (pp. 1-57). </b:Pages>
    <b:RefOrder>27</b:RefOrder>
  </b:Source>
  <b:Source>
    <b:Tag>You22</b:Tag>
    <b:SourceType>InternetSite</b:SourceType>
    <b:Guid>{A4E54AAA-69DD-423F-80D2-BEBFCE0515CF}</b:Guid>
    <b:Author>
      <b:Author>
        <b:NameList>
          <b:Person>
            <b:Last>Europe</b:Last>
            <b:First>Your</b:First>
          </b:Person>
        </b:NameList>
      </b:Author>
    </b:Author>
    <b:Title>Data protection under GDPR - Your Europe.</b:Title>
    <b:Year>2022</b:Year>
    <b:YearAccessed>2024</b:YearAccessed>
    <b:MonthAccessed>Dec</b:MonthAccessed>
    <b:DayAccessed>Monday</b:DayAccessed>
    <b:URL>https://europa.eu/youreurope/business/dealing-with-customers/data-protection/data-protection-gdpr/index_en.htm [</b:URL>
    <b:RefOrder>28</b:RefOrder>
  </b:Source>
  <b:Source>
    <b:Tag>Alm22</b:Tag>
    <b:SourceType>JournalArticle</b:SourceType>
    <b:Guid>{C645AC83-F850-44FC-BA2B-FC79CBD87906}</b:Guid>
    <b:Author>
      <b:Author>
        <b:NameList>
          <b:Person>
            <b:Last>Almeida</b:Last>
          </b:Person>
          <b:Person>
            <b:Last>Shmarko</b:Last>
          </b:Person>
          <b:Person>
            <b:Last>Lomas</b:Last>
          </b:Person>
        </b:NameList>
      </b:Author>
    </b:Author>
    <b:Title>The ethics of facial recognition technologies, surveillance, and accountability in an age of artificial intelligence: a comparative analysis of US, EU, and UK regulatory frameworks. </b:Title>
    <b:Year>2022</b:Year>
    <b:JournalName>AI and Ethics</b:JournalName>
    <b:Pages>pp.377</b:Pages>
    <b:Volume>2(3), </b:Volume>
    <b:RefOrder>29</b:RefOrder>
  </b:Source>
  <b:Source>
    <b:Tag>Alm221</b:Tag>
    <b:SourceType>JournalArticle</b:SourceType>
    <b:Guid>{DFBD9D20-8D5B-4FE4-B9FB-D8227DD76111}</b:Guid>
    <b:Author>
      <b:Author>
        <b:NameList>
          <b:Person>
            <b:Last>Almeida</b:Last>
          </b:Person>
          <b:Person>
            <b:Last>Shmarko</b:Last>
          </b:Person>
          <b:Person>
            <b:Last>Lomas</b:Last>
          </b:Person>
        </b:NameList>
      </b:Author>
    </b:Author>
    <b:Title>The ethics of facial recognition technologies, surveillance, and accountability in an age of artificial intelligence: a comparative analysis of US, EU, and UK regulatory frameworks. </b:Title>
    <b:JournalName>AI and Ethics</b:JournalName>
    <b:Year>2022</b:Year>
    <b:Pages>pp.377</b:Pages>
    <b:Volume>2(3),</b:Volume>
    <b:RefOrder>21</b:RefOrder>
  </b:Source>
  <b:Source>
    <b:Tag>Fan21</b:Tag>
    <b:SourceType>JournalArticle</b:SourceType>
    <b:Guid>{E7046D74-FF86-45A0-9026-FFFACFBC8EA1}</b:Guid>
    <b:Author>
      <b:Author>
        <b:NameList>
          <b:Person>
            <b:Last>Fanto</b:Last>
          </b:Person>
        </b:NameList>
      </b:Author>
    </b:Author>
    <b:Title>The Professionalization of Compliance: Its Progress, Impediments, and Outcomes.</b:Title>
    <b:JournalName>Notre Dame JL Ethics &amp; Pub. Pol'y</b:JournalName>
    <b:Year> 2021</b:Year>
    <b:Pages>p.183.</b:Pages>
    <b:Volume>35, </b:Volume>
    <b:RefOrder>22</b:RefOrder>
  </b:Source>
  <b:Source>
    <b:Tag>Arm20</b:Tag>
    <b:SourceType>JournalArticle</b:SourceType>
    <b:Guid>{E0BFA012-93C2-429C-91C8-855BA25235DD}</b:Guid>
    <b:Author>
      <b:Author>
        <b:NameList>
          <b:Person>
            <b:Last>Armour</b:Last>
          </b:Person>
          <b:Person>
            <b:Last>Sako</b:Last>
          </b:Person>
        </b:NameList>
      </b:Author>
    </b:Author>
    <b:Title>AI-enabled business models in legal services: from traditional law firms to next-generation law companies?. </b:Title>
    <b:JournalName>Journal of Professions and Organization</b:JournalName>
    <b:Year>2020</b:Year>
    <b:Pages>pp.27-46.</b:Pages>
    <b:Volume>7(1), </b:Volume>
    <b:RefOrder>23</b:RefOrder>
  </b:Source>
  <b:Source>
    <b:Tag>Kla20</b:Tag>
    <b:SourceType>JournalArticle</b:SourceType>
    <b:Guid>{C4A04954-32B7-4696-A15F-4EA21C538C7A}</b:Guid>
    <b:Author>
      <b:Author>
        <b:NameList>
          <b:Person>
            <b:Last>Klar</b:Last>
          </b:Person>
        </b:NameList>
      </b:Author>
    </b:Author>
    <b:Title>Binding effects of the European general data protection regulation (gdpr) on US companies. </b:Title>
    <b:JournalName>Hastings Sci. &amp; Tech.</b:JournalName>
    <b:Year>2020</b:Year>
    <b:Pages> p.101.</b:Pages>
    <b:Volume>11,</b:Volume>
    <b:RefOrder>24</b:RefOrder>
  </b:Source>
</b:Sources>
</file>

<file path=customXml/itemProps1.xml><?xml version="1.0" encoding="utf-8"?>
<ds:datastoreItem xmlns:ds="http://schemas.openxmlformats.org/officeDocument/2006/customXml" ds:itemID="{414BE2C4-D0FE-42A9-BD16-60878A58B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24</Pages>
  <Words>7351</Words>
  <Characters>41907</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User</cp:lastModifiedBy>
  <cp:revision>21</cp:revision>
  <dcterms:created xsi:type="dcterms:W3CDTF">2024-12-09T06:28:00Z</dcterms:created>
  <dcterms:modified xsi:type="dcterms:W3CDTF">2024-12-11T15:35:00Z</dcterms:modified>
</cp:coreProperties>
</file>