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112B" w:rsidRDefault="0017112B" w:rsidP="0017112B">
      <w:pPr>
        <w:pStyle w:val="Heading1"/>
        <w:spacing w:line="360" w:lineRule="auto"/>
        <w:jc w:val="both"/>
        <w:rPr>
          <w:rFonts w:ascii="Times New Roman" w:hAnsi="Times New Roman" w:cs="Times New Roman"/>
          <w:b/>
          <w:color w:val="auto"/>
          <w:sz w:val="24"/>
          <w:szCs w:val="24"/>
        </w:rPr>
      </w:pPr>
    </w:p>
    <w:p w:rsidR="0017112B" w:rsidRDefault="0017112B" w:rsidP="0017112B">
      <w:pPr>
        <w:pStyle w:val="Heading1"/>
        <w:spacing w:line="360" w:lineRule="auto"/>
        <w:jc w:val="both"/>
        <w:rPr>
          <w:rFonts w:ascii="Times New Roman" w:hAnsi="Times New Roman" w:cs="Times New Roman"/>
          <w:b/>
          <w:color w:val="auto"/>
          <w:sz w:val="24"/>
          <w:szCs w:val="24"/>
        </w:rPr>
      </w:pPr>
    </w:p>
    <w:p w:rsidR="0017112B" w:rsidRDefault="0017112B" w:rsidP="0017112B">
      <w:pPr>
        <w:pStyle w:val="Heading1"/>
        <w:spacing w:line="360" w:lineRule="auto"/>
        <w:jc w:val="both"/>
        <w:rPr>
          <w:rFonts w:ascii="Times New Roman" w:hAnsi="Times New Roman" w:cs="Times New Roman"/>
          <w:b/>
          <w:color w:val="auto"/>
          <w:sz w:val="24"/>
          <w:szCs w:val="24"/>
        </w:rPr>
      </w:pPr>
    </w:p>
    <w:p w:rsidR="0017112B" w:rsidRDefault="0017112B" w:rsidP="0017112B">
      <w:pPr>
        <w:pStyle w:val="Heading1"/>
        <w:spacing w:line="360" w:lineRule="auto"/>
        <w:jc w:val="both"/>
        <w:rPr>
          <w:rFonts w:ascii="Times New Roman" w:hAnsi="Times New Roman" w:cs="Times New Roman"/>
          <w:b/>
          <w:color w:val="auto"/>
          <w:sz w:val="24"/>
          <w:szCs w:val="24"/>
        </w:rPr>
      </w:pPr>
    </w:p>
    <w:p w:rsidR="0017112B" w:rsidRDefault="0017112B" w:rsidP="0017112B">
      <w:pPr>
        <w:pStyle w:val="Heading1"/>
        <w:spacing w:line="360" w:lineRule="auto"/>
        <w:jc w:val="both"/>
        <w:rPr>
          <w:rFonts w:ascii="Times New Roman" w:hAnsi="Times New Roman" w:cs="Times New Roman"/>
          <w:b/>
          <w:color w:val="auto"/>
          <w:sz w:val="24"/>
          <w:szCs w:val="24"/>
        </w:rPr>
      </w:pPr>
    </w:p>
    <w:p w:rsidR="0017112B" w:rsidRPr="0017112B" w:rsidRDefault="0017112B" w:rsidP="0017112B">
      <w:pPr>
        <w:spacing w:line="360" w:lineRule="auto"/>
        <w:jc w:val="center"/>
        <w:rPr>
          <w:rFonts w:ascii="Times New Roman" w:hAnsi="Times New Roman" w:cs="Times New Roman"/>
          <w:sz w:val="24"/>
        </w:rPr>
      </w:pPr>
      <w:r w:rsidRPr="0017112B">
        <w:rPr>
          <w:rFonts w:ascii="Times New Roman" w:hAnsi="Times New Roman" w:cs="Times New Roman"/>
          <w:sz w:val="24"/>
        </w:rPr>
        <w:t>The Role and Impact of the Mabo (No 2) Case on the Australian Legal System</w:t>
      </w:r>
    </w:p>
    <w:p w:rsidR="0017112B" w:rsidRPr="0017112B" w:rsidRDefault="0017112B" w:rsidP="0017112B">
      <w:pPr>
        <w:spacing w:line="360" w:lineRule="auto"/>
        <w:jc w:val="center"/>
        <w:rPr>
          <w:rFonts w:ascii="Times New Roman" w:hAnsi="Times New Roman" w:cs="Times New Roman"/>
          <w:sz w:val="24"/>
        </w:rPr>
      </w:pPr>
      <w:r w:rsidRPr="0017112B">
        <w:rPr>
          <w:rFonts w:ascii="Times New Roman" w:hAnsi="Times New Roman" w:cs="Times New Roman"/>
          <w:sz w:val="24"/>
        </w:rPr>
        <w:t>[Name of Student]</w:t>
      </w:r>
    </w:p>
    <w:p w:rsidR="0017112B" w:rsidRPr="0017112B" w:rsidRDefault="0017112B" w:rsidP="0017112B">
      <w:pPr>
        <w:spacing w:line="360" w:lineRule="auto"/>
        <w:jc w:val="center"/>
        <w:rPr>
          <w:rFonts w:ascii="Times New Roman" w:hAnsi="Times New Roman" w:cs="Times New Roman"/>
          <w:sz w:val="24"/>
        </w:rPr>
      </w:pPr>
      <w:r w:rsidRPr="0017112B">
        <w:rPr>
          <w:rFonts w:ascii="Times New Roman" w:hAnsi="Times New Roman" w:cs="Times New Roman"/>
          <w:sz w:val="24"/>
        </w:rPr>
        <w:t>[Name of Institute]</w:t>
      </w:r>
    </w:p>
    <w:p w:rsidR="0017112B" w:rsidRDefault="0017112B" w:rsidP="0017112B">
      <w:pPr>
        <w:spacing w:line="360" w:lineRule="auto"/>
        <w:jc w:val="center"/>
        <w:rPr>
          <w:rFonts w:ascii="Times New Roman" w:hAnsi="Times New Roman" w:cs="Times New Roman"/>
          <w:sz w:val="24"/>
        </w:rPr>
      </w:pPr>
      <w:r w:rsidRPr="0017112B">
        <w:rPr>
          <w:rFonts w:ascii="Times New Roman" w:hAnsi="Times New Roman" w:cs="Times New Roman"/>
          <w:sz w:val="24"/>
        </w:rPr>
        <w:t>[Date]</w:t>
      </w:r>
    </w:p>
    <w:p w:rsidR="0017112B" w:rsidRDefault="0017112B" w:rsidP="0017112B">
      <w:pPr>
        <w:spacing w:line="360" w:lineRule="auto"/>
        <w:jc w:val="center"/>
        <w:rPr>
          <w:rFonts w:ascii="Times New Roman" w:hAnsi="Times New Roman" w:cs="Times New Roman"/>
          <w:sz w:val="24"/>
        </w:rPr>
      </w:pPr>
    </w:p>
    <w:p w:rsidR="00891D51" w:rsidRDefault="00891D51">
      <w:pPr>
        <w:rPr>
          <w:rFonts w:ascii="Times New Roman" w:hAnsi="Times New Roman" w:cs="Times New Roman"/>
          <w:sz w:val="24"/>
        </w:rPr>
      </w:pPr>
      <w:r>
        <w:rPr>
          <w:rFonts w:ascii="Times New Roman" w:hAnsi="Times New Roman" w:cs="Times New Roman"/>
          <w:sz w:val="24"/>
        </w:rPr>
        <w:br w:type="page"/>
      </w:r>
    </w:p>
    <w:p w:rsidR="00891D51" w:rsidRPr="00891D51" w:rsidRDefault="00891D51" w:rsidP="00891D51">
      <w:pPr>
        <w:pStyle w:val="Heading1"/>
        <w:spacing w:line="360" w:lineRule="auto"/>
        <w:jc w:val="center"/>
        <w:rPr>
          <w:rFonts w:ascii="Times New Roman" w:hAnsi="Times New Roman" w:cs="Times New Roman"/>
          <w:b/>
          <w:color w:val="auto"/>
          <w:sz w:val="24"/>
        </w:rPr>
      </w:pPr>
      <w:bookmarkStart w:id="0" w:name="_Toc183687832"/>
      <w:r w:rsidRPr="00891D51">
        <w:rPr>
          <w:rFonts w:ascii="Times New Roman" w:hAnsi="Times New Roman" w:cs="Times New Roman"/>
          <w:b/>
          <w:color w:val="auto"/>
          <w:sz w:val="24"/>
        </w:rPr>
        <w:lastRenderedPageBreak/>
        <w:t>Abstract</w:t>
      </w:r>
      <w:bookmarkEnd w:id="0"/>
    </w:p>
    <w:p w:rsidR="00891D51" w:rsidRPr="008766A2" w:rsidRDefault="00891D51" w:rsidP="00891D51">
      <w:pPr>
        <w:spacing w:line="360" w:lineRule="auto"/>
        <w:jc w:val="both"/>
      </w:pPr>
      <w:r w:rsidRPr="008766A2">
        <w:rPr>
          <w:rFonts w:ascii="Times New Roman" w:eastAsia="Times New Roman" w:hAnsi="Times New Roman" w:cs="Times New Roman"/>
          <w:sz w:val="24"/>
          <w:szCs w:val="24"/>
        </w:rPr>
        <w:t>The Mabo (No 2) is the crucial legal event in the Australian legal history in which the government and the supreme court annulled the concept of terra nullius and acknowledged the Native Title rights of the Indigenous Australians. This research looks at the effects that the instance has had on possession rights of land and how it influenced other laws to be passed down to the current legislation such as the Native Title Act 1993. I praise engaging problems of Native Title within the Native Title legal regime as evidentiary burdens, risks of extinguishment, and limited resources available to Indigenous people. The controversies and complexities revealed in this system call for reforms and future improvements, and the report engages in the analysis of these possible future improvements while drawing attention to the continuing relevance of Mabo (No 2) in working towards justice and reconciliation.</w:t>
      </w:r>
      <w:bookmarkStart w:id="1" w:name="_GoBack"/>
      <w:bookmarkEnd w:id="1"/>
    </w:p>
    <w:p w:rsidR="0017112B" w:rsidRPr="0017112B" w:rsidRDefault="0017112B" w:rsidP="00891D51">
      <w:pPr>
        <w:spacing w:line="360" w:lineRule="auto"/>
        <w:rPr>
          <w:rFonts w:ascii="Times New Roman" w:hAnsi="Times New Roman" w:cs="Times New Roman"/>
          <w:sz w:val="24"/>
        </w:rPr>
      </w:pPr>
      <w:r>
        <w:rPr>
          <w:rFonts w:ascii="Times New Roman" w:hAnsi="Times New Roman" w:cs="Times New Roman"/>
          <w:sz w:val="24"/>
        </w:rPr>
        <w:br w:type="page"/>
      </w:r>
    </w:p>
    <w:sdt>
      <w:sdtPr>
        <w:rPr>
          <w:rFonts w:asciiTheme="minorHAnsi" w:eastAsiaTheme="minorHAnsi" w:hAnsiTheme="minorHAnsi" w:cstheme="minorBidi"/>
          <w:color w:val="auto"/>
          <w:sz w:val="22"/>
          <w:szCs w:val="22"/>
        </w:rPr>
        <w:id w:val="394392319"/>
        <w:docPartObj>
          <w:docPartGallery w:val="Table of Contents"/>
          <w:docPartUnique/>
        </w:docPartObj>
      </w:sdtPr>
      <w:sdtEndPr>
        <w:rPr>
          <w:b/>
          <w:bCs/>
          <w:noProof/>
        </w:rPr>
      </w:sdtEndPr>
      <w:sdtContent>
        <w:p w:rsidR="0017112B" w:rsidRDefault="0017112B" w:rsidP="0017112B">
          <w:pPr>
            <w:pStyle w:val="TOCHeading"/>
            <w:spacing w:line="360" w:lineRule="auto"/>
            <w:jc w:val="center"/>
          </w:pPr>
          <w:r>
            <w:t>Table of Contents</w:t>
          </w:r>
        </w:p>
        <w:p w:rsidR="00891D51" w:rsidRPr="00891D51" w:rsidRDefault="0017112B" w:rsidP="00891D51">
          <w:pPr>
            <w:pStyle w:val="TOC1"/>
            <w:tabs>
              <w:tab w:val="right" w:leader="dot" w:pos="9350"/>
            </w:tabs>
            <w:spacing w:line="360" w:lineRule="auto"/>
            <w:jc w:val="both"/>
            <w:rPr>
              <w:rFonts w:ascii="Times New Roman" w:eastAsiaTheme="minorEastAsia" w:hAnsi="Times New Roman" w:cs="Times New Roman"/>
              <w:noProof/>
              <w:sz w:val="24"/>
            </w:rPr>
          </w:pPr>
          <w:r>
            <w:fldChar w:fldCharType="begin"/>
          </w:r>
          <w:r>
            <w:instrText xml:space="preserve"> TOC \o "1-3" \h \z \u </w:instrText>
          </w:r>
          <w:r>
            <w:fldChar w:fldCharType="separate"/>
          </w:r>
          <w:hyperlink w:anchor="_Toc183687832" w:history="1">
            <w:r w:rsidR="00891D51" w:rsidRPr="00891D51">
              <w:rPr>
                <w:rStyle w:val="Hyperlink"/>
                <w:rFonts w:ascii="Times New Roman" w:hAnsi="Times New Roman" w:cs="Times New Roman"/>
                <w:noProof/>
                <w:sz w:val="24"/>
              </w:rPr>
              <w:t>Abstract</w:t>
            </w:r>
            <w:r w:rsidR="00891D51" w:rsidRPr="00891D51">
              <w:rPr>
                <w:rFonts w:ascii="Times New Roman" w:hAnsi="Times New Roman" w:cs="Times New Roman"/>
                <w:noProof/>
                <w:webHidden/>
                <w:sz w:val="24"/>
              </w:rPr>
              <w:tab/>
            </w:r>
            <w:r w:rsidR="00891D51" w:rsidRPr="00891D51">
              <w:rPr>
                <w:rFonts w:ascii="Times New Roman" w:hAnsi="Times New Roman" w:cs="Times New Roman"/>
                <w:noProof/>
                <w:webHidden/>
                <w:sz w:val="24"/>
              </w:rPr>
              <w:fldChar w:fldCharType="begin"/>
            </w:r>
            <w:r w:rsidR="00891D51" w:rsidRPr="00891D51">
              <w:rPr>
                <w:rFonts w:ascii="Times New Roman" w:hAnsi="Times New Roman" w:cs="Times New Roman"/>
                <w:noProof/>
                <w:webHidden/>
                <w:sz w:val="24"/>
              </w:rPr>
              <w:instrText xml:space="preserve"> PAGEREF _Toc183687832 \h </w:instrText>
            </w:r>
            <w:r w:rsidR="00891D51" w:rsidRPr="00891D51">
              <w:rPr>
                <w:rFonts w:ascii="Times New Roman" w:hAnsi="Times New Roman" w:cs="Times New Roman"/>
                <w:noProof/>
                <w:webHidden/>
                <w:sz w:val="24"/>
              </w:rPr>
            </w:r>
            <w:r w:rsidR="00891D51"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2</w:t>
            </w:r>
            <w:r w:rsidR="00891D51" w:rsidRPr="00891D51">
              <w:rPr>
                <w:rFonts w:ascii="Times New Roman" w:hAnsi="Times New Roman" w:cs="Times New Roman"/>
                <w:noProof/>
                <w:webHidden/>
                <w:sz w:val="24"/>
              </w:rPr>
              <w:fldChar w:fldCharType="end"/>
            </w:r>
          </w:hyperlink>
        </w:p>
        <w:p w:rsidR="00891D51" w:rsidRPr="00891D51" w:rsidRDefault="00891D51" w:rsidP="00891D51">
          <w:pPr>
            <w:pStyle w:val="TOC1"/>
            <w:tabs>
              <w:tab w:val="right" w:leader="dot" w:pos="9350"/>
            </w:tabs>
            <w:spacing w:line="360" w:lineRule="auto"/>
            <w:jc w:val="both"/>
            <w:rPr>
              <w:rFonts w:ascii="Times New Roman" w:eastAsiaTheme="minorEastAsia" w:hAnsi="Times New Roman" w:cs="Times New Roman"/>
              <w:noProof/>
              <w:sz w:val="24"/>
            </w:rPr>
          </w:pPr>
          <w:hyperlink w:anchor="_Toc183687833" w:history="1">
            <w:r w:rsidRPr="00891D51">
              <w:rPr>
                <w:rStyle w:val="Hyperlink"/>
                <w:rFonts w:ascii="Times New Roman" w:hAnsi="Times New Roman" w:cs="Times New Roman"/>
                <w:noProof/>
                <w:sz w:val="24"/>
              </w:rPr>
              <w:t>Introduction</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_Toc183687833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4</w:t>
            </w:r>
            <w:r w:rsidRPr="00891D51">
              <w:rPr>
                <w:rFonts w:ascii="Times New Roman" w:hAnsi="Times New Roman" w:cs="Times New Roman"/>
                <w:noProof/>
                <w:webHidden/>
                <w:sz w:val="24"/>
              </w:rPr>
              <w:fldChar w:fldCharType="end"/>
            </w:r>
          </w:hyperlink>
        </w:p>
        <w:p w:rsidR="00891D51" w:rsidRPr="00891D51" w:rsidRDefault="00891D51" w:rsidP="00891D51">
          <w:pPr>
            <w:pStyle w:val="TOC1"/>
            <w:tabs>
              <w:tab w:val="right" w:leader="dot" w:pos="9350"/>
            </w:tabs>
            <w:spacing w:line="360" w:lineRule="auto"/>
            <w:jc w:val="both"/>
            <w:rPr>
              <w:rFonts w:ascii="Times New Roman" w:eastAsiaTheme="minorEastAsia" w:hAnsi="Times New Roman" w:cs="Times New Roman"/>
              <w:noProof/>
              <w:sz w:val="24"/>
            </w:rPr>
          </w:pPr>
          <w:hyperlink w:anchor="_Toc183687834" w:history="1">
            <w:r w:rsidRPr="00891D51">
              <w:rPr>
                <w:rStyle w:val="Hyperlink"/>
                <w:rFonts w:ascii="Times New Roman" w:hAnsi="Times New Roman" w:cs="Times New Roman"/>
                <w:noProof/>
                <w:sz w:val="24"/>
              </w:rPr>
              <w:t>Overview of the Mabo (No 2) Case</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_Toc183687834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4</w:t>
            </w:r>
            <w:r w:rsidRPr="00891D51">
              <w:rPr>
                <w:rFonts w:ascii="Times New Roman" w:hAnsi="Times New Roman" w:cs="Times New Roman"/>
                <w:noProof/>
                <w:webHidden/>
                <w:sz w:val="24"/>
              </w:rPr>
              <w:fldChar w:fldCharType="end"/>
            </w:r>
          </w:hyperlink>
        </w:p>
        <w:p w:rsidR="00891D51" w:rsidRPr="00891D51" w:rsidRDefault="00891D51" w:rsidP="00891D51">
          <w:pPr>
            <w:pStyle w:val="TOC2"/>
            <w:tabs>
              <w:tab w:val="right" w:leader="dot" w:pos="9350"/>
            </w:tabs>
            <w:spacing w:line="360" w:lineRule="auto"/>
            <w:jc w:val="both"/>
            <w:rPr>
              <w:rFonts w:ascii="Times New Roman" w:eastAsiaTheme="minorEastAsia" w:hAnsi="Times New Roman" w:cs="Times New Roman"/>
              <w:noProof/>
              <w:sz w:val="24"/>
            </w:rPr>
          </w:pPr>
          <w:hyperlink w:anchor="_Toc183687835" w:history="1">
            <w:r w:rsidRPr="00891D51">
              <w:rPr>
                <w:rStyle w:val="Hyperlink"/>
                <w:rFonts w:ascii="Times New Roman" w:hAnsi="Times New Roman" w:cs="Times New Roman"/>
                <w:noProof/>
                <w:sz w:val="24"/>
              </w:rPr>
              <w:t>Background and Key Facts</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_Toc183687835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4</w:t>
            </w:r>
            <w:r w:rsidRPr="00891D51">
              <w:rPr>
                <w:rFonts w:ascii="Times New Roman" w:hAnsi="Times New Roman" w:cs="Times New Roman"/>
                <w:noProof/>
                <w:webHidden/>
                <w:sz w:val="24"/>
              </w:rPr>
              <w:fldChar w:fldCharType="end"/>
            </w:r>
          </w:hyperlink>
        </w:p>
        <w:p w:rsidR="00891D51" w:rsidRPr="00891D51" w:rsidRDefault="00891D51" w:rsidP="00891D51">
          <w:pPr>
            <w:pStyle w:val="TOC2"/>
            <w:tabs>
              <w:tab w:val="right" w:leader="dot" w:pos="9350"/>
            </w:tabs>
            <w:spacing w:line="360" w:lineRule="auto"/>
            <w:jc w:val="both"/>
            <w:rPr>
              <w:rFonts w:ascii="Times New Roman" w:eastAsiaTheme="minorEastAsia" w:hAnsi="Times New Roman" w:cs="Times New Roman"/>
              <w:noProof/>
              <w:sz w:val="24"/>
            </w:rPr>
          </w:pPr>
          <w:hyperlink w:anchor="_Toc183687836" w:history="1">
            <w:r w:rsidRPr="00891D51">
              <w:rPr>
                <w:rStyle w:val="Hyperlink"/>
                <w:rFonts w:ascii="Times New Roman" w:hAnsi="Times New Roman" w:cs="Times New Roman"/>
                <w:noProof/>
                <w:sz w:val="24"/>
              </w:rPr>
              <w:t>Legal Principles Established</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_Toc183687836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4</w:t>
            </w:r>
            <w:r w:rsidRPr="00891D51">
              <w:rPr>
                <w:rFonts w:ascii="Times New Roman" w:hAnsi="Times New Roman" w:cs="Times New Roman"/>
                <w:noProof/>
                <w:webHidden/>
                <w:sz w:val="24"/>
              </w:rPr>
              <w:fldChar w:fldCharType="end"/>
            </w:r>
          </w:hyperlink>
        </w:p>
        <w:p w:rsidR="00891D51" w:rsidRPr="00891D51" w:rsidRDefault="00891D51" w:rsidP="00891D51">
          <w:pPr>
            <w:pStyle w:val="TOC1"/>
            <w:tabs>
              <w:tab w:val="right" w:leader="dot" w:pos="9350"/>
            </w:tabs>
            <w:spacing w:line="360" w:lineRule="auto"/>
            <w:jc w:val="both"/>
            <w:rPr>
              <w:rFonts w:ascii="Times New Roman" w:eastAsiaTheme="minorEastAsia" w:hAnsi="Times New Roman" w:cs="Times New Roman"/>
              <w:noProof/>
              <w:sz w:val="24"/>
            </w:rPr>
          </w:pPr>
          <w:hyperlink w:anchor="_Toc183687837" w:history="1">
            <w:r w:rsidRPr="00891D51">
              <w:rPr>
                <w:rStyle w:val="Hyperlink"/>
                <w:rFonts w:ascii="Times New Roman" w:hAnsi="Times New Roman" w:cs="Times New Roman"/>
                <w:noProof/>
                <w:sz w:val="24"/>
              </w:rPr>
              <w:t>Impacts of the Mabo (No 2) Case on the Australian Legal System</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_Toc183687837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5</w:t>
            </w:r>
            <w:r w:rsidRPr="00891D51">
              <w:rPr>
                <w:rFonts w:ascii="Times New Roman" w:hAnsi="Times New Roman" w:cs="Times New Roman"/>
                <w:noProof/>
                <w:webHidden/>
                <w:sz w:val="24"/>
              </w:rPr>
              <w:fldChar w:fldCharType="end"/>
            </w:r>
          </w:hyperlink>
        </w:p>
        <w:p w:rsidR="00891D51" w:rsidRPr="00891D51" w:rsidRDefault="00891D51" w:rsidP="00891D51">
          <w:pPr>
            <w:pStyle w:val="TOC2"/>
            <w:tabs>
              <w:tab w:val="right" w:leader="dot" w:pos="9350"/>
            </w:tabs>
            <w:spacing w:line="360" w:lineRule="auto"/>
            <w:jc w:val="both"/>
            <w:rPr>
              <w:rFonts w:ascii="Times New Roman" w:eastAsiaTheme="minorEastAsia" w:hAnsi="Times New Roman" w:cs="Times New Roman"/>
              <w:noProof/>
              <w:sz w:val="24"/>
            </w:rPr>
          </w:pPr>
          <w:hyperlink w:anchor="_Toc183687838" w:history="1">
            <w:r w:rsidRPr="00891D51">
              <w:rPr>
                <w:rStyle w:val="Hyperlink"/>
                <w:rFonts w:ascii="Times New Roman" w:hAnsi="Times New Roman" w:cs="Times New Roman"/>
                <w:noProof/>
                <w:sz w:val="24"/>
              </w:rPr>
              <w:t>Transformations in Land Ownership Laws</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_Toc183687838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5</w:t>
            </w:r>
            <w:r w:rsidRPr="00891D51">
              <w:rPr>
                <w:rFonts w:ascii="Times New Roman" w:hAnsi="Times New Roman" w:cs="Times New Roman"/>
                <w:noProof/>
                <w:webHidden/>
                <w:sz w:val="24"/>
              </w:rPr>
              <w:fldChar w:fldCharType="end"/>
            </w:r>
          </w:hyperlink>
        </w:p>
        <w:p w:rsidR="00891D51" w:rsidRPr="00891D51" w:rsidRDefault="00891D51" w:rsidP="00891D51">
          <w:pPr>
            <w:pStyle w:val="TOC2"/>
            <w:tabs>
              <w:tab w:val="right" w:leader="dot" w:pos="9350"/>
            </w:tabs>
            <w:spacing w:line="360" w:lineRule="auto"/>
            <w:jc w:val="both"/>
            <w:rPr>
              <w:rFonts w:ascii="Times New Roman" w:eastAsiaTheme="minorEastAsia" w:hAnsi="Times New Roman" w:cs="Times New Roman"/>
              <w:noProof/>
              <w:sz w:val="24"/>
            </w:rPr>
          </w:pPr>
          <w:hyperlink w:anchor="_Toc183687839" w:history="1">
            <w:r w:rsidRPr="00891D51">
              <w:rPr>
                <w:rStyle w:val="Hyperlink"/>
                <w:rFonts w:ascii="Times New Roman" w:hAnsi="Times New Roman" w:cs="Times New Roman"/>
                <w:noProof/>
                <w:sz w:val="24"/>
              </w:rPr>
              <w:t>Influence on Subsequent Legislation</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_Toc183687839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5</w:t>
            </w:r>
            <w:r w:rsidRPr="00891D51">
              <w:rPr>
                <w:rFonts w:ascii="Times New Roman" w:hAnsi="Times New Roman" w:cs="Times New Roman"/>
                <w:noProof/>
                <w:webHidden/>
                <w:sz w:val="24"/>
              </w:rPr>
              <w:fldChar w:fldCharType="end"/>
            </w:r>
          </w:hyperlink>
        </w:p>
        <w:p w:rsidR="00891D51" w:rsidRPr="00891D51" w:rsidRDefault="00891D51" w:rsidP="00891D51">
          <w:pPr>
            <w:pStyle w:val="TOC2"/>
            <w:tabs>
              <w:tab w:val="right" w:leader="dot" w:pos="9350"/>
            </w:tabs>
            <w:spacing w:line="360" w:lineRule="auto"/>
            <w:jc w:val="both"/>
            <w:rPr>
              <w:rFonts w:ascii="Times New Roman" w:eastAsiaTheme="minorEastAsia" w:hAnsi="Times New Roman" w:cs="Times New Roman"/>
              <w:noProof/>
              <w:sz w:val="24"/>
            </w:rPr>
          </w:pPr>
          <w:hyperlink w:anchor="_Toc183687840" w:history="1">
            <w:r w:rsidRPr="00891D51">
              <w:rPr>
                <w:rStyle w:val="Hyperlink"/>
                <w:rFonts w:ascii="Times New Roman" w:hAnsi="Times New Roman" w:cs="Times New Roman"/>
                <w:noProof/>
                <w:sz w:val="24"/>
              </w:rPr>
              <w:t>Broader Societal Implications</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_Toc183687840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6</w:t>
            </w:r>
            <w:r w:rsidRPr="00891D51">
              <w:rPr>
                <w:rFonts w:ascii="Times New Roman" w:hAnsi="Times New Roman" w:cs="Times New Roman"/>
                <w:noProof/>
                <w:webHidden/>
                <w:sz w:val="24"/>
              </w:rPr>
              <w:fldChar w:fldCharType="end"/>
            </w:r>
          </w:hyperlink>
        </w:p>
        <w:p w:rsidR="00891D51" w:rsidRPr="00891D51" w:rsidRDefault="00891D51" w:rsidP="00891D51">
          <w:pPr>
            <w:pStyle w:val="TOC1"/>
            <w:tabs>
              <w:tab w:val="right" w:leader="dot" w:pos="9350"/>
            </w:tabs>
            <w:spacing w:line="360" w:lineRule="auto"/>
            <w:jc w:val="both"/>
            <w:rPr>
              <w:rFonts w:ascii="Times New Roman" w:eastAsiaTheme="minorEastAsia" w:hAnsi="Times New Roman" w:cs="Times New Roman"/>
              <w:noProof/>
              <w:sz w:val="24"/>
            </w:rPr>
          </w:pPr>
          <w:hyperlink w:anchor="_Toc183687841" w:history="1">
            <w:r w:rsidRPr="00891D51">
              <w:rPr>
                <w:rStyle w:val="Hyperlink"/>
                <w:rFonts w:ascii="Times New Roman" w:eastAsia="Times New Roman" w:hAnsi="Times New Roman" w:cs="Times New Roman"/>
                <w:noProof/>
                <w:sz w:val="24"/>
              </w:rPr>
              <w:t>Shortfalls of the Current Legal System Regarding Native Title</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_Toc183687841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6</w:t>
            </w:r>
            <w:r w:rsidRPr="00891D51">
              <w:rPr>
                <w:rFonts w:ascii="Times New Roman" w:hAnsi="Times New Roman" w:cs="Times New Roman"/>
                <w:noProof/>
                <w:webHidden/>
                <w:sz w:val="24"/>
              </w:rPr>
              <w:fldChar w:fldCharType="end"/>
            </w:r>
          </w:hyperlink>
        </w:p>
        <w:p w:rsidR="00891D51" w:rsidRPr="00891D51" w:rsidRDefault="00891D51" w:rsidP="00891D51">
          <w:pPr>
            <w:pStyle w:val="TOC2"/>
            <w:tabs>
              <w:tab w:val="right" w:leader="dot" w:pos="9350"/>
            </w:tabs>
            <w:spacing w:line="360" w:lineRule="auto"/>
            <w:jc w:val="both"/>
            <w:rPr>
              <w:rFonts w:ascii="Times New Roman" w:eastAsiaTheme="minorEastAsia" w:hAnsi="Times New Roman" w:cs="Times New Roman"/>
              <w:noProof/>
              <w:sz w:val="24"/>
            </w:rPr>
          </w:pPr>
          <w:hyperlink w:anchor="_Toc183687842" w:history="1">
            <w:r w:rsidRPr="00891D51">
              <w:rPr>
                <w:rStyle w:val="Hyperlink"/>
                <w:rFonts w:ascii="Times New Roman" w:eastAsia="Times New Roman" w:hAnsi="Times New Roman" w:cs="Times New Roman"/>
                <w:noProof/>
                <w:sz w:val="24"/>
              </w:rPr>
              <w:t>Gaps and Limitations in the Native Title Framework</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_Toc183687842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6</w:t>
            </w:r>
            <w:r w:rsidRPr="00891D51">
              <w:rPr>
                <w:rFonts w:ascii="Times New Roman" w:hAnsi="Times New Roman" w:cs="Times New Roman"/>
                <w:noProof/>
                <w:webHidden/>
                <w:sz w:val="24"/>
              </w:rPr>
              <w:fldChar w:fldCharType="end"/>
            </w:r>
          </w:hyperlink>
        </w:p>
        <w:p w:rsidR="00891D51" w:rsidRPr="00891D51" w:rsidRDefault="00891D51" w:rsidP="00891D51">
          <w:pPr>
            <w:pStyle w:val="TOC2"/>
            <w:tabs>
              <w:tab w:val="right" w:leader="dot" w:pos="9350"/>
            </w:tabs>
            <w:spacing w:line="360" w:lineRule="auto"/>
            <w:jc w:val="both"/>
            <w:rPr>
              <w:rFonts w:ascii="Times New Roman" w:eastAsiaTheme="minorEastAsia" w:hAnsi="Times New Roman" w:cs="Times New Roman"/>
              <w:noProof/>
              <w:sz w:val="24"/>
            </w:rPr>
          </w:pPr>
          <w:hyperlink w:anchor="_Toc183687843" w:history="1">
            <w:r w:rsidRPr="00891D51">
              <w:rPr>
                <w:rStyle w:val="Hyperlink"/>
                <w:rFonts w:ascii="Times New Roman" w:eastAsia="Times New Roman" w:hAnsi="Times New Roman" w:cs="Times New Roman"/>
                <w:noProof/>
                <w:sz w:val="24"/>
              </w:rPr>
              <w:t>Challenges in Claiming and Maintaining Native Title</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_Toc183687843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7</w:t>
            </w:r>
            <w:r w:rsidRPr="00891D51">
              <w:rPr>
                <w:rFonts w:ascii="Times New Roman" w:hAnsi="Times New Roman" w:cs="Times New Roman"/>
                <w:noProof/>
                <w:webHidden/>
                <w:sz w:val="24"/>
              </w:rPr>
              <w:fldChar w:fldCharType="end"/>
            </w:r>
          </w:hyperlink>
        </w:p>
        <w:p w:rsidR="00891D51" w:rsidRPr="00891D51" w:rsidRDefault="00891D51" w:rsidP="00891D51">
          <w:pPr>
            <w:pStyle w:val="TOC1"/>
            <w:tabs>
              <w:tab w:val="right" w:leader="dot" w:pos="9350"/>
            </w:tabs>
            <w:spacing w:line="360" w:lineRule="auto"/>
            <w:jc w:val="both"/>
            <w:rPr>
              <w:rFonts w:ascii="Times New Roman" w:eastAsiaTheme="minorEastAsia" w:hAnsi="Times New Roman" w:cs="Times New Roman"/>
              <w:noProof/>
              <w:sz w:val="24"/>
            </w:rPr>
          </w:pPr>
          <w:hyperlink w:anchor="_Toc183687844" w:history="1">
            <w:r w:rsidRPr="00891D51">
              <w:rPr>
                <w:rStyle w:val="Hyperlink"/>
                <w:rFonts w:ascii="Times New Roman" w:eastAsia="Times New Roman" w:hAnsi="Times New Roman" w:cs="Times New Roman"/>
                <w:noProof/>
                <w:sz w:val="24"/>
              </w:rPr>
              <w:t>The Future of Native Title</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_Toc183687844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7</w:t>
            </w:r>
            <w:r w:rsidRPr="00891D51">
              <w:rPr>
                <w:rFonts w:ascii="Times New Roman" w:hAnsi="Times New Roman" w:cs="Times New Roman"/>
                <w:noProof/>
                <w:webHidden/>
                <w:sz w:val="24"/>
              </w:rPr>
              <w:fldChar w:fldCharType="end"/>
            </w:r>
          </w:hyperlink>
        </w:p>
        <w:p w:rsidR="00891D51" w:rsidRPr="00891D51" w:rsidRDefault="00891D51" w:rsidP="00891D51">
          <w:pPr>
            <w:pStyle w:val="TOC2"/>
            <w:tabs>
              <w:tab w:val="right" w:leader="dot" w:pos="9350"/>
            </w:tabs>
            <w:spacing w:line="360" w:lineRule="auto"/>
            <w:jc w:val="both"/>
            <w:rPr>
              <w:rFonts w:ascii="Times New Roman" w:eastAsiaTheme="minorEastAsia" w:hAnsi="Times New Roman" w:cs="Times New Roman"/>
              <w:noProof/>
              <w:sz w:val="24"/>
            </w:rPr>
          </w:pPr>
          <w:hyperlink w:anchor="_Toc183687845" w:history="1">
            <w:r w:rsidRPr="00891D51">
              <w:rPr>
                <w:rStyle w:val="Hyperlink"/>
                <w:rFonts w:ascii="Times New Roman" w:eastAsia="Times New Roman" w:hAnsi="Times New Roman" w:cs="Times New Roman"/>
                <w:noProof/>
                <w:sz w:val="24"/>
              </w:rPr>
              <w:t>Potential Reforms to Address Shortfalls</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_Toc183687845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7</w:t>
            </w:r>
            <w:r w:rsidRPr="00891D51">
              <w:rPr>
                <w:rFonts w:ascii="Times New Roman" w:hAnsi="Times New Roman" w:cs="Times New Roman"/>
                <w:noProof/>
                <w:webHidden/>
                <w:sz w:val="24"/>
              </w:rPr>
              <w:fldChar w:fldCharType="end"/>
            </w:r>
          </w:hyperlink>
        </w:p>
        <w:p w:rsidR="00891D51" w:rsidRPr="00891D51" w:rsidRDefault="00891D51" w:rsidP="00891D51">
          <w:pPr>
            <w:pStyle w:val="TOC2"/>
            <w:tabs>
              <w:tab w:val="right" w:leader="dot" w:pos="9350"/>
            </w:tabs>
            <w:spacing w:line="360" w:lineRule="auto"/>
            <w:jc w:val="both"/>
            <w:rPr>
              <w:rFonts w:ascii="Times New Roman" w:eastAsiaTheme="minorEastAsia" w:hAnsi="Times New Roman" w:cs="Times New Roman"/>
              <w:noProof/>
              <w:sz w:val="24"/>
            </w:rPr>
          </w:pPr>
          <w:hyperlink w:anchor="_Toc183687846" w:history="1">
            <w:r w:rsidRPr="00891D51">
              <w:rPr>
                <w:rStyle w:val="Hyperlink"/>
                <w:rFonts w:ascii="Times New Roman" w:eastAsia="Times New Roman" w:hAnsi="Times New Roman" w:cs="Times New Roman"/>
                <w:noProof/>
                <w:sz w:val="24"/>
              </w:rPr>
              <w:t>Predicted Evolution of Native Title Legislation and Policies</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_Toc183687846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8</w:t>
            </w:r>
            <w:r w:rsidRPr="00891D51">
              <w:rPr>
                <w:rFonts w:ascii="Times New Roman" w:hAnsi="Times New Roman" w:cs="Times New Roman"/>
                <w:noProof/>
                <w:webHidden/>
                <w:sz w:val="24"/>
              </w:rPr>
              <w:fldChar w:fldCharType="end"/>
            </w:r>
          </w:hyperlink>
        </w:p>
        <w:p w:rsidR="00891D51" w:rsidRPr="00891D51" w:rsidRDefault="00891D51" w:rsidP="00891D51">
          <w:pPr>
            <w:pStyle w:val="TOC1"/>
            <w:tabs>
              <w:tab w:val="right" w:leader="dot" w:pos="9350"/>
            </w:tabs>
            <w:spacing w:line="360" w:lineRule="auto"/>
            <w:jc w:val="both"/>
            <w:rPr>
              <w:rFonts w:ascii="Times New Roman" w:eastAsiaTheme="minorEastAsia" w:hAnsi="Times New Roman" w:cs="Times New Roman"/>
              <w:noProof/>
              <w:sz w:val="24"/>
            </w:rPr>
          </w:pPr>
          <w:hyperlink w:anchor="_Toc183687847" w:history="1">
            <w:r w:rsidRPr="00891D51">
              <w:rPr>
                <w:rStyle w:val="Hyperlink"/>
                <w:rFonts w:ascii="Times New Roman" w:eastAsia="Times New Roman" w:hAnsi="Times New Roman" w:cs="Times New Roman"/>
                <w:noProof/>
                <w:sz w:val="24"/>
              </w:rPr>
              <w:t>Conclusion</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_Toc183687847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9</w:t>
            </w:r>
            <w:r w:rsidRPr="00891D51">
              <w:rPr>
                <w:rFonts w:ascii="Times New Roman" w:hAnsi="Times New Roman" w:cs="Times New Roman"/>
                <w:noProof/>
                <w:webHidden/>
                <w:sz w:val="24"/>
              </w:rPr>
              <w:fldChar w:fldCharType="end"/>
            </w:r>
          </w:hyperlink>
        </w:p>
        <w:p w:rsidR="00891D51" w:rsidRDefault="00891D51" w:rsidP="00891D51">
          <w:pPr>
            <w:pStyle w:val="TOC1"/>
            <w:tabs>
              <w:tab w:val="right" w:leader="dot" w:pos="9350"/>
            </w:tabs>
            <w:spacing w:line="360" w:lineRule="auto"/>
            <w:jc w:val="both"/>
            <w:rPr>
              <w:rFonts w:eastAsiaTheme="minorEastAsia"/>
              <w:noProof/>
            </w:rPr>
          </w:pPr>
          <w:hyperlink w:anchor="_Toc183687848" w:history="1">
            <w:r w:rsidRPr="00891D51">
              <w:rPr>
                <w:rStyle w:val="Hyperlink"/>
                <w:rFonts w:ascii="Times New Roman" w:hAnsi="Times New Roman" w:cs="Times New Roman"/>
                <w:noProof/>
                <w:sz w:val="24"/>
              </w:rPr>
              <w:t>References</w:t>
            </w:r>
            <w:r w:rsidRPr="00891D51">
              <w:rPr>
                <w:rFonts w:ascii="Times New Roman" w:hAnsi="Times New Roman" w:cs="Times New Roman"/>
                <w:noProof/>
                <w:webHidden/>
                <w:sz w:val="24"/>
              </w:rPr>
              <w:tab/>
            </w:r>
            <w:r w:rsidRPr="00891D51">
              <w:rPr>
                <w:rFonts w:ascii="Times New Roman" w:hAnsi="Times New Roman" w:cs="Times New Roman"/>
                <w:noProof/>
                <w:webHidden/>
                <w:sz w:val="24"/>
              </w:rPr>
              <w:fldChar w:fldCharType="begin"/>
            </w:r>
            <w:r w:rsidRPr="00891D51">
              <w:rPr>
                <w:rFonts w:ascii="Times New Roman" w:hAnsi="Times New Roman" w:cs="Times New Roman"/>
                <w:noProof/>
                <w:webHidden/>
                <w:sz w:val="24"/>
              </w:rPr>
              <w:instrText xml:space="preserve"> PAGEREF _Toc183687848 \h </w:instrText>
            </w:r>
            <w:r w:rsidRPr="00891D51">
              <w:rPr>
                <w:rFonts w:ascii="Times New Roman" w:hAnsi="Times New Roman" w:cs="Times New Roman"/>
                <w:noProof/>
                <w:webHidden/>
                <w:sz w:val="24"/>
              </w:rPr>
            </w:r>
            <w:r w:rsidRPr="00891D51">
              <w:rPr>
                <w:rFonts w:ascii="Times New Roman" w:hAnsi="Times New Roman" w:cs="Times New Roman"/>
                <w:noProof/>
                <w:webHidden/>
                <w:sz w:val="24"/>
              </w:rPr>
              <w:fldChar w:fldCharType="separate"/>
            </w:r>
            <w:r w:rsidR="0002290D">
              <w:rPr>
                <w:rFonts w:ascii="Times New Roman" w:hAnsi="Times New Roman" w:cs="Times New Roman"/>
                <w:noProof/>
                <w:webHidden/>
                <w:sz w:val="24"/>
              </w:rPr>
              <w:t>10</w:t>
            </w:r>
            <w:r w:rsidRPr="00891D51">
              <w:rPr>
                <w:rFonts w:ascii="Times New Roman" w:hAnsi="Times New Roman" w:cs="Times New Roman"/>
                <w:noProof/>
                <w:webHidden/>
                <w:sz w:val="24"/>
              </w:rPr>
              <w:fldChar w:fldCharType="end"/>
            </w:r>
          </w:hyperlink>
        </w:p>
        <w:p w:rsidR="0017112B" w:rsidRPr="00891D51" w:rsidRDefault="0017112B" w:rsidP="00891D51">
          <w:r>
            <w:rPr>
              <w:b/>
              <w:bCs/>
              <w:noProof/>
            </w:rPr>
            <w:fldChar w:fldCharType="end"/>
          </w:r>
        </w:p>
      </w:sdtContent>
    </w:sdt>
    <w:p w:rsidR="00891D51" w:rsidRDefault="00891D51">
      <w:pPr>
        <w:rPr>
          <w:rFonts w:ascii="Times New Roman" w:eastAsiaTheme="majorEastAsia" w:hAnsi="Times New Roman" w:cs="Times New Roman"/>
          <w:b/>
          <w:sz w:val="24"/>
          <w:szCs w:val="24"/>
        </w:rPr>
      </w:pPr>
      <w:bookmarkStart w:id="2" w:name="_Toc183687833"/>
      <w:r>
        <w:rPr>
          <w:rFonts w:ascii="Times New Roman" w:hAnsi="Times New Roman" w:cs="Times New Roman"/>
          <w:b/>
          <w:sz w:val="24"/>
          <w:szCs w:val="24"/>
        </w:rPr>
        <w:br w:type="page"/>
      </w:r>
    </w:p>
    <w:p w:rsidR="00B6071B" w:rsidRPr="0017112B" w:rsidRDefault="0017112B" w:rsidP="0017112B">
      <w:pPr>
        <w:pStyle w:val="Heading1"/>
        <w:spacing w:line="360" w:lineRule="auto"/>
        <w:jc w:val="both"/>
        <w:rPr>
          <w:rFonts w:ascii="Times New Roman" w:hAnsi="Times New Roman" w:cs="Times New Roman"/>
          <w:b/>
          <w:color w:val="auto"/>
          <w:sz w:val="24"/>
          <w:szCs w:val="24"/>
        </w:rPr>
      </w:pPr>
      <w:r w:rsidRPr="0017112B">
        <w:rPr>
          <w:rFonts w:ascii="Times New Roman" w:hAnsi="Times New Roman" w:cs="Times New Roman"/>
          <w:b/>
          <w:color w:val="auto"/>
          <w:sz w:val="24"/>
          <w:szCs w:val="24"/>
        </w:rPr>
        <w:lastRenderedPageBreak/>
        <w:t>Introduction</w:t>
      </w:r>
      <w:bookmarkEnd w:id="2"/>
    </w:p>
    <w:p w:rsidR="00B029F7" w:rsidRPr="0017112B" w:rsidRDefault="0017112B" w:rsidP="0017112B">
      <w:pPr>
        <w:spacing w:line="360" w:lineRule="auto"/>
        <w:jc w:val="both"/>
        <w:rPr>
          <w:rFonts w:ascii="Times New Roman" w:eastAsia="Times New Roman" w:hAnsi="Times New Roman" w:cs="Times New Roman"/>
          <w:sz w:val="24"/>
          <w:szCs w:val="24"/>
        </w:rPr>
      </w:pPr>
      <w:r w:rsidRPr="0017112B">
        <w:rPr>
          <w:rFonts w:ascii="Times New Roman" w:eastAsia="Times New Roman" w:hAnsi="Times New Roman" w:cs="Times New Roman"/>
          <w:sz w:val="24"/>
          <w:szCs w:val="24"/>
        </w:rPr>
        <w:t>The Mabo (No 2) case is an essential precedent in Australia's law. It is considered a legal revolution because it introduced a new way of thinking about Australian land rights and Indigenous peoples</w:t>
      </w:r>
      <w:r w:rsidR="000C1B8E" w:rsidRPr="0017112B">
        <w:rPr>
          <w:rFonts w:ascii="Times New Roman" w:eastAsia="Times New Roman" w:hAnsi="Times New Roman" w:cs="Times New Roman"/>
          <w:sz w:val="24"/>
          <w:szCs w:val="24"/>
        </w:rPr>
        <w:t xml:space="preserve"> </w:t>
      </w:r>
      <w:r w:rsidR="000C1B8E" w:rsidRPr="0017112B">
        <w:rPr>
          <w:rFonts w:ascii="Times New Roman" w:hAnsi="Times New Roman" w:cs="Times New Roman"/>
          <w:sz w:val="24"/>
          <w:szCs w:val="24"/>
          <w:shd w:val="clear" w:color="auto" w:fill="FFFFFF"/>
        </w:rPr>
        <w:t>(Hobbs, 2023)</w:t>
      </w:r>
      <w:r w:rsidRPr="0017112B">
        <w:rPr>
          <w:rFonts w:ascii="Times New Roman" w:eastAsia="Times New Roman" w:hAnsi="Times New Roman" w:cs="Times New Roman"/>
          <w:sz w:val="24"/>
          <w:szCs w:val="24"/>
        </w:rPr>
        <w:t>. The 1992 High Court decision dismissed terra nullius, a principle Europe had used for centuries to claim Australia was empty and uninhabited when the British arrived. This principle undermined the native title rights of the Aboriginal and Torres Strait Islanders, who had faced social exclusion for generations.</w:t>
      </w:r>
    </w:p>
    <w:p w:rsidR="00B029F7" w:rsidRPr="0017112B" w:rsidRDefault="0017112B" w:rsidP="0017112B">
      <w:pPr>
        <w:spacing w:line="360" w:lineRule="auto"/>
        <w:jc w:val="both"/>
        <w:rPr>
          <w:rFonts w:ascii="Times New Roman" w:eastAsia="Times New Roman" w:hAnsi="Times New Roman" w:cs="Times New Roman"/>
          <w:sz w:val="24"/>
          <w:szCs w:val="24"/>
        </w:rPr>
      </w:pPr>
      <w:r w:rsidRPr="0017112B">
        <w:rPr>
          <w:rFonts w:ascii="Times New Roman" w:eastAsia="Times New Roman" w:hAnsi="Times New Roman" w:cs="Times New Roman"/>
          <w:sz w:val="24"/>
          <w:szCs w:val="24"/>
        </w:rPr>
        <w:t>This report aims to provide an analysis of the discourse on the effect that the Mabo (No 2) had on the Australian legal system and society. Importantly, it discusses the generally recognised case's impact on changing the laws of land ownership, the problems and constraints that arose in the course of legal resolution, and the main social consequences of the High Court decision. The report also looks at legal factors that stem from the case laws and legislation that pertain to the case.</w:t>
      </w:r>
    </w:p>
    <w:p w:rsidR="00B6071B" w:rsidRPr="0017112B" w:rsidRDefault="0017112B" w:rsidP="0017112B">
      <w:pPr>
        <w:spacing w:line="360" w:lineRule="auto"/>
        <w:jc w:val="both"/>
        <w:rPr>
          <w:rFonts w:ascii="Times New Roman" w:eastAsia="Times New Roman" w:hAnsi="Times New Roman" w:cs="Times New Roman"/>
          <w:sz w:val="24"/>
          <w:szCs w:val="24"/>
        </w:rPr>
      </w:pPr>
      <w:r w:rsidRPr="0017112B">
        <w:rPr>
          <w:rFonts w:ascii="Times New Roman" w:eastAsia="Times New Roman" w:hAnsi="Times New Roman" w:cs="Times New Roman"/>
          <w:sz w:val="24"/>
          <w:szCs w:val="24"/>
        </w:rPr>
        <w:t>This paper takes the following objectives to explore the background and implications of the Mabo (No 2) case and how it has fostered the initial framework for change in the Australian land law and justice systems as well as the starting point of the continuous talk about reconciliation which is a critical discourse in society today.</w:t>
      </w:r>
    </w:p>
    <w:p w:rsidR="00B6071B" w:rsidRPr="0017112B" w:rsidRDefault="0017112B" w:rsidP="0017112B">
      <w:pPr>
        <w:pStyle w:val="Heading1"/>
        <w:spacing w:line="360" w:lineRule="auto"/>
        <w:jc w:val="both"/>
        <w:rPr>
          <w:rFonts w:ascii="Times New Roman" w:hAnsi="Times New Roman" w:cs="Times New Roman"/>
          <w:b/>
          <w:color w:val="auto"/>
          <w:sz w:val="24"/>
          <w:szCs w:val="24"/>
        </w:rPr>
      </w:pPr>
      <w:bookmarkStart w:id="3" w:name="_Toc183687834"/>
      <w:r w:rsidRPr="0017112B">
        <w:rPr>
          <w:rFonts w:ascii="Times New Roman" w:hAnsi="Times New Roman" w:cs="Times New Roman"/>
          <w:b/>
          <w:color w:val="auto"/>
          <w:sz w:val="24"/>
          <w:szCs w:val="24"/>
        </w:rPr>
        <w:t>Overview of the Mabo (No 2) Case</w:t>
      </w:r>
      <w:bookmarkEnd w:id="3"/>
    </w:p>
    <w:p w:rsidR="00B6071B" w:rsidRPr="0017112B" w:rsidRDefault="0017112B" w:rsidP="0017112B">
      <w:pPr>
        <w:pStyle w:val="Heading2"/>
        <w:spacing w:line="360" w:lineRule="auto"/>
        <w:jc w:val="both"/>
        <w:rPr>
          <w:rFonts w:ascii="Times New Roman" w:hAnsi="Times New Roman" w:cs="Times New Roman"/>
          <w:b/>
          <w:color w:val="auto"/>
          <w:sz w:val="24"/>
          <w:szCs w:val="24"/>
        </w:rPr>
      </w:pPr>
      <w:bookmarkStart w:id="4" w:name="_Toc183687835"/>
      <w:r w:rsidRPr="0017112B">
        <w:rPr>
          <w:rFonts w:ascii="Times New Roman" w:hAnsi="Times New Roman" w:cs="Times New Roman"/>
          <w:b/>
          <w:color w:val="auto"/>
          <w:sz w:val="24"/>
          <w:szCs w:val="24"/>
        </w:rPr>
        <w:t>Background and Key Facts</w:t>
      </w:r>
      <w:bookmarkEnd w:id="4"/>
    </w:p>
    <w:p w:rsidR="00B029F7" w:rsidRPr="0017112B" w:rsidRDefault="0017112B" w:rsidP="0017112B">
      <w:pPr>
        <w:spacing w:line="360" w:lineRule="auto"/>
        <w:jc w:val="both"/>
        <w:rPr>
          <w:rFonts w:ascii="Times New Roman" w:eastAsia="Times New Roman" w:hAnsi="Times New Roman" w:cs="Times New Roman"/>
          <w:sz w:val="24"/>
          <w:szCs w:val="24"/>
        </w:rPr>
      </w:pPr>
      <w:r w:rsidRPr="0017112B">
        <w:rPr>
          <w:rFonts w:ascii="Times New Roman" w:eastAsia="Times New Roman" w:hAnsi="Times New Roman" w:cs="Times New Roman"/>
          <w:sz w:val="24"/>
          <w:szCs w:val="24"/>
        </w:rPr>
        <w:t xml:space="preserve">The Mabo (No 2) case arose from a claim put forward on behalf of the native people of the Murray Islands in the Torres Strait by Eddie Koiki Mabo and others of the Meriam people </w:t>
      </w:r>
      <w:r w:rsidRPr="0017112B">
        <w:rPr>
          <w:rFonts w:ascii="Times New Roman" w:hAnsi="Times New Roman" w:cs="Times New Roman"/>
          <w:sz w:val="24"/>
          <w:szCs w:val="24"/>
          <w:shd w:val="clear" w:color="auto" w:fill="FFFFFF"/>
        </w:rPr>
        <w:t>(Keon-Cohen, 2023)</w:t>
      </w:r>
      <w:r w:rsidRPr="0017112B">
        <w:rPr>
          <w:rFonts w:ascii="Times New Roman" w:eastAsia="Times New Roman" w:hAnsi="Times New Roman" w:cs="Times New Roman"/>
          <w:sz w:val="24"/>
          <w:szCs w:val="24"/>
        </w:rPr>
        <w:t xml:space="preserve">. This, in effect, rejected the idea of terra nullius in that the Meriam people live there consistently through laws and customs. After relying on the court of law for several years, the High Court of Australia delivered its judgment on 3 June 1992 </w:t>
      </w:r>
      <w:r w:rsidRPr="0017112B">
        <w:rPr>
          <w:rFonts w:ascii="Times New Roman" w:hAnsi="Times New Roman" w:cs="Times New Roman"/>
          <w:sz w:val="24"/>
          <w:szCs w:val="24"/>
          <w:shd w:val="clear" w:color="auto" w:fill="FFFFFF"/>
        </w:rPr>
        <w:t>(and, 2023)</w:t>
      </w:r>
      <w:r w:rsidRPr="0017112B">
        <w:rPr>
          <w:rFonts w:ascii="Times New Roman" w:eastAsia="Times New Roman" w:hAnsi="Times New Roman" w:cs="Times New Roman"/>
          <w:sz w:val="24"/>
          <w:szCs w:val="24"/>
        </w:rPr>
        <w:t>. In a 6-1 decision, the court voided terra nullius while acknowledging for the first time that Aboriginal and Torres Strait Islander peoples had rights in the lands before colonisation.</w:t>
      </w:r>
    </w:p>
    <w:p w:rsidR="00B6071B" w:rsidRPr="0017112B" w:rsidRDefault="0017112B" w:rsidP="0017112B">
      <w:pPr>
        <w:pStyle w:val="Heading2"/>
        <w:spacing w:line="360" w:lineRule="auto"/>
        <w:jc w:val="both"/>
        <w:rPr>
          <w:rFonts w:ascii="Times New Roman" w:hAnsi="Times New Roman" w:cs="Times New Roman"/>
          <w:b/>
          <w:color w:val="auto"/>
          <w:sz w:val="24"/>
          <w:szCs w:val="24"/>
        </w:rPr>
      </w:pPr>
      <w:bookmarkStart w:id="5" w:name="_Toc183687836"/>
      <w:r w:rsidRPr="0017112B">
        <w:rPr>
          <w:rFonts w:ascii="Times New Roman" w:hAnsi="Times New Roman" w:cs="Times New Roman"/>
          <w:b/>
          <w:color w:val="auto"/>
          <w:sz w:val="24"/>
          <w:szCs w:val="24"/>
        </w:rPr>
        <w:t>Legal Principles Established</w:t>
      </w:r>
      <w:bookmarkEnd w:id="5"/>
    </w:p>
    <w:p w:rsidR="00B029F7" w:rsidRPr="0017112B" w:rsidRDefault="0017112B" w:rsidP="0017112B">
      <w:pPr>
        <w:spacing w:line="360" w:lineRule="auto"/>
        <w:jc w:val="both"/>
        <w:rPr>
          <w:rFonts w:ascii="Times New Roman" w:eastAsia="Times New Roman" w:hAnsi="Times New Roman" w:cs="Times New Roman"/>
          <w:sz w:val="24"/>
          <w:szCs w:val="24"/>
        </w:rPr>
      </w:pPr>
      <w:r w:rsidRPr="0017112B">
        <w:rPr>
          <w:rFonts w:ascii="Times New Roman" w:eastAsia="Times New Roman" w:hAnsi="Times New Roman" w:cs="Times New Roman"/>
          <w:sz w:val="24"/>
          <w:szCs w:val="24"/>
        </w:rPr>
        <w:t xml:space="preserve">In Mabo (No 2), the High Court endorsed the principle of native title to the land. Contrary to the assumption of Western legal systems, indigenous people's rights to their lands were compatible with Crown sovereignty </w:t>
      </w:r>
      <w:proofErr w:type="gramStart"/>
      <w:r w:rsidRPr="0017112B">
        <w:rPr>
          <w:rFonts w:ascii="Times New Roman" w:hAnsi="Times New Roman" w:cs="Times New Roman"/>
          <w:sz w:val="24"/>
          <w:szCs w:val="24"/>
        </w:rPr>
        <w:t>‌(</w:t>
      </w:r>
      <w:proofErr w:type="gramEnd"/>
      <w:r w:rsidRPr="0017112B">
        <w:rPr>
          <w:rFonts w:ascii="Times New Roman" w:hAnsi="Times New Roman" w:cs="Times New Roman"/>
          <w:sz w:val="24"/>
          <w:szCs w:val="24"/>
          <w:shd w:val="clear" w:color="auto" w:fill="FFFFFF"/>
        </w:rPr>
        <w:t>O'Sullivan, 2021)</w:t>
      </w:r>
      <w:r w:rsidRPr="0017112B">
        <w:rPr>
          <w:rFonts w:ascii="Times New Roman" w:eastAsia="Times New Roman" w:hAnsi="Times New Roman" w:cs="Times New Roman"/>
          <w:sz w:val="24"/>
          <w:szCs w:val="24"/>
        </w:rPr>
        <w:t xml:space="preserve">. What they described as the foundation for Native Title </w:t>
      </w:r>
      <w:r w:rsidRPr="0017112B">
        <w:rPr>
          <w:rFonts w:ascii="Times New Roman" w:eastAsia="Times New Roman" w:hAnsi="Times New Roman" w:cs="Times New Roman"/>
          <w:sz w:val="24"/>
          <w:szCs w:val="24"/>
        </w:rPr>
        <w:lastRenderedPageBreak/>
        <w:t>included recognition of the intention to continue occupying the said land under traditional laws and customs.</w:t>
      </w:r>
    </w:p>
    <w:p w:rsidR="00B6071B" w:rsidRPr="0017112B" w:rsidRDefault="0017112B" w:rsidP="0017112B">
      <w:pPr>
        <w:spacing w:line="360" w:lineRule="auto"/>
        <w:jc w:val="both"/>
        <w:rPr>
          <w:rFonts w:ascii="Times New Roman" w:eastAsia="Times New Roman" w:hAnsi="Times New Roman" w:cs="Times New Roman"/>
          <w:sz w:val="24"/>
          <w:szCs w:val="24"/>
        </w:rPr>
      </w:pPr>
      <w:r w:rsidRPr="0017112B">
        <w:rPr>
          <w:rFonts w:ascii="Times New Roman" w:eastAsia="Times New Roman" w:hAnsi="Times New Roman" w:cs="Times New Roman"/>
          <w:sz w:val="24"/>
          <w:szCs w:val="24"/>
        </w:rPr>
        <w:t xml:space="preserve">However, the judgment has also pointed in the direction of certain constraints. Native title is extinguished through the government's conflicting conduct, such as providing land to third parties or putting up social amenities </w:t>
      </w:r>
      <w:r w:rsidRPr="0017112B">
        <w:rPr>
          <w:rFonts w:ascii="Times New Roman" w:hAnsi="Times New Roman" w:cs="Times New Roman"/>
          <w:sz w:val="24"/>
          <w:szCs w:val="24"/>
          <w:shd w:val="clear" w:color="auto" w:fill="FFFFFF"/>
        </w:rPr>
        <w:t>(Ritter, 2020)</w:t>
      </w:r>
      <w:r w:rsidRPr="0017112B">
        <w:rPr>
          <w:rFonts w:ascii="Times New Roman" w:eastAsia="Times New Roman" w:hAnsi="Times New Roman" w:cs="Times New Roman"/>
          <w:sz w:val="24"/>
          <w:szCs w:val="24"/>
        </w:rPr>
        <w:t>. The principle of coexistence between Native Title and Crown sovereignty represented one way of mitigating Indigenous and non-Indigenous conflicts on land in Australia, which is said to be one of the most significant moments ever reached in the country's legal history.</w:t>
      </w:r>
    </w:p>
    <w:p w:rsidR="00B6071B" w:rsidRPr="0017112B" w:rsidRDefault="0017112B" w:rsidP="0017112B">
      <w:pPr>
        <w:pStyle w:val="Heading1"/>
        <w:spacing w:line="360" w:lineRule="auto"/>
        <w:jc w:val="both"/>
        <w:rPr>
          <w:rFonts w:ascii="Times New Roman" w:hAnsi="Times New Roman" w:cs="Times New Roman"/>
          <w:b/>
          <w:color w:val="auto"/>
          <w:sz w:val="24"/>
          <w:szCs w:val="24"/>
        </w:rPr>
      </w:pPr>
      <w:bookmarkStart w:id="6" w:name="_Toc183687837"/>
      <w:r w:rsidRPr="0017112B">
        <w:rPr>
          <w:rFonts w:ascii="Times New Roman" w:hAnsi="Times New Roman" w:cs="Times New Roman"/>
          <w:b/>
          <w:color w:val="auto"/>
          <w:sz w:val="24"/>
          <w:szCs w:val="24"/>
        </w:rPr>
        <w:t>Impacts of the Mabo (No 2) Case on the Australian Legal System</w:t>
      </w:r>
      <w:bookmarkEnd w:id="6"/>
    </w:p>
    <w:p w:rsidR="00B6071B" w:rsidRPr="0017112B" w:rsidRDefault="0017112B" w:rsidP="0017112B">
      <w:pPr>
        <w:pStyle w:val="Heading2"/>
        <w:spacing w:line="360" w:lineRule="auto"/>
        <w:jc w:val="both"/>
        <w:rPr>
          <w:rFonts w:ascii="Times New Roman" w:hAnsi="Times New Roman" w:cs="Times New Roman"/>
          <w:b/>
          <w:color w:val="auto"/>
          <w:sz w:val="24"/>
          <w:szCs w:val="24"/>
        </w:rPr>
      </w:pPr>
      <w:bookmarkStart w:id="7" w:name="_Toc183687838"/>
      <w:r w:rsidRPr="0017112B">
        <w:rPr>
          <w:rFonts w:ascii="Times New Roman" w:hAnsi="Times New Roman" w:cs="Times New Roman"/>
          <w:b/>
          <w:color w:val="auto"/>
          <w:sz w:val="24"/>
          <w:szCs w:val="24"/>
        </w:rPr>
        <w:t>Transformations in Land Ownership Laws</w:t>
      </w:r>
      <w:bookmarkEnd w:id="7"/>
    </w:p>
    <w:p w:rsidR="00B029F7" w:rsidRPr="0017112B" w:rsidRDefault="0017112B" w:rsidP="0017112B">
      <w:pPr>
        <w:spacing w:line="360" w:lineRule="auto"/>
        <w:jc w:val="both"/>
        <w:rPr>
          <w:rFonts w:ascii="Times New Roman" w:eastAsia="Times New Roman" w:hAnsi="Times New Roman" w:cs="Times New Roman"/>
          <w:sz w:val="24"/>
          <w:szCs w:val="24"/>
        </w:rPr>
      </w:pPr>
      <w:r w:rsidRPr="0017112B">
        <w:rPr>
          <w:rFonts w:ascii="Times New Roman" w:eastAsia="Times New Roman" w:hAnsi="Times New Roman" w:cs="Times New Roman"/>
          <w:sz w:val="24"/>
          <w:szCs w:val="24"/>
        </w:rPr>
        <w:t>The Mabo (No 2) case radically changed Australian land law by overthrowing the colonial fiction of terra nullius. By proving that Indigenous peoples legally own the land, it shifted the power of ownership and control of land in the nation.</w:t>
      </w:r>
    </w:p>
    <w:p w:rsidR="00B029F7" w:rsidRPr="0017112B" w:rsidRDefault="0017112B" w:rsidP="0017112B">
      <w:pPr>
        <w:spacing w:line="360" w:lineRule="auto"/>
        <w:jc w:val="both"/>
        <w:rPr>
          <w:rFonts w:ascii="Times New Roman" w:eastAsia="Times New Roman" w:hAnsi="Times New Roman" w:cs="Times New Roman"/>
          <w:sz w:val="24"/>
          <w:szCs w:val="24"/>
        </w:rPr>
      </w:pPr>
      <w:r w:rsidRPr="0017112B">
        <w:rPr>
          <w:rFonts w:ascii="Times New Roman" w:eastAsia="Times New Roman" w:hAnsi="Times New Roman" w:cs="Times New Roman"/>
          <w:sz w:val="24"/>
          <w:szCs w:val="24"/>
        </w:rPr>
        <w:t xml:space="preserve">The judgment required the creation of new legal regimes that enable recognition of Native Title claims. The following brought about the Native Title Act 1993 (NTA), which aimed to formalise the principles adopted in the Mabo (No 2) case </w:t>
      </w:r>
      <w:r w:rsidRPr="0017112B">
        <w:rPr>
          <w:rFonts w:ascii="Times New Roman" w:hAnsi="Times New Roman" w:cs="Times New Roman"/>
          <w:sz w:val="24"/>
          <w:szCs w:val="24"/>
          <w:shd w:val="clear" w:color="auto" w:fill="FFFFFF"/>
        </w:rPr>
        <w:t>(Watt, Kowal &amp; Cummings, 2020)</w:t>
      </w:r>
      <w:r w:rsidRPr="0017112B">
        <w:rPr>
          <w:rFonts w:ascii="Times New Roman" w:eastAsia="Times New Roman" w:hAnsi="Times New Roman" w:cs="Times New Roman"/>
          <w:sz w:val="24"/>
          <w:szCs w:val="24"/>
        </w:rPr>
        <w:t>. The NTA outlined procedures for making Native Title determinations, signing a native title system, and a dispute resolution procedure for dealing with such issues. It also addressed issues relating to the interaction or overlap of Native Title with other proprietary interests regarding the same land.</w:t>
      </w:r>
    </w:p>
    <w:p w:rsidR="00B029F7" w:rsidRPr="0017112B" w:rsidRDefault="0017112B" w:rsidP="0017112B">
      <w:pPr>
        <w:spacing w:line="360" w:lineRule="auto"/>
        <w:jc w:val="both"/>
        <w:rPr>
          <w:rFonts w:ascii="Times New Roman" w:hAnsi="Times New Roman" w:cs="Times New Roman"/>
          <w:sz w:val="24"/>
          <w:szCs w:val="24"/>
        </w:rPr>
      </w:pPr>
      <w:r w:rsidRPr="0017112B">
        <w:rPr>
          <w:rFonts w:ascii="Times New Roman" w:eastAsia="Times New Roman" w:hAnsi="Times New Roman" w:cs="Times New Roman"/>
          <w:sz w:val="24"/>
          <w:szCs w:val="24"/>
        </w:rPr>
        <w:t xml:space="preserve">Despite offering a procedural way of acknowledging Indigenous land rights, the NTA brought changes in procedural and meta-procedural regulative framework into force </w:t>
      </w:r>
      <w:r w:rsidRPr="0017112B">
        <w:rPr>
          <w:rFonts w:ascii="Times New Roman" w:hAnsi="Times New Roman" w:cs="Times New Roman"/>
          <w:sz w:val="24"/>
          <w:szCs w:val="24"/>
          <w:shd w:val="clear" w:color="auto" w:fill="FFFFFF"/>
        </w:rPr>
        <w:t>(</w:t>
      </w:r>
      <w:proofErr w:type="spellStart"/>
      <w:r w:rsidRPr="0017112B">
        <w:rPr>
          <w:rFonts w:ascii="Times New Roman" w:hAnsi="Times New Roman" w:cs="Times New Roman"/>
          <w:sz w:val="24"/>
          <w:szCs w:val="24"/>
          <w:shd w:val="clear" w:color="auto" w:fill="FFFFFF"/>
        </w:rPr>
        <w:t>Jegede</w:t>
      </w:r>
      <w:proofErr w:type="spellEnd"/>
      <w:r w:rsidRPr="0017112B">
        <w:rPr>
          <w:rFonts w:ascii="Times New Roman" w:hAnsi="Times New Roman" w:cs="Times New Roman"/>
          <w:sz w:val="24"/>
          <w:szCs w:val="24"/>
          <w:shd w:val="clear" w:color="auto" w:fill="FFFFFF"/>
        </w:rPr>
        <w:t>, 2016)</w:t>
      </w:r>
      <w:r w:rsidRPr="0017112B">
        <w:rPr>
          <w:rFonts w:ascii="Times New Roman" w:eastAsia="Times New Roman" w:hAnsi="Times New Roman" w:cs="Times New Roman"/>
          <w:sz w:val="24"/>
          <w:szCs w:val="24"/>
        </w:rPr>
        <w:t>. Claimants were required to meet the test of the Indigenous right to the land within the framework of traditional Indigenous laws and customs, which was often cumbersome and time-consuming. However, these hurdles had some considerable and significant roles in setting up the NTA – which played an essential part in decolonising Australia's legal culture.</w:t>
      </w:r>
    </w:p>
    <w:p w:rsidR="00B6071B" w:rsidRPr="0017112B" w:rsidRDefault="0017112B" w:rsidP="0017112B">
      <w:pPr>
        <w:pStyle w:val="Heading2"/>
        <w:spacing w:line="360" w:lineRule="auto"/>
        <w:jc w:val="both"/>
        <w:rPr>
          <w:rFonts w:ascii="Times New Roman" w:hAnsi="Times New Roman" w:cs="Times New Roman"/>
          <w:b/>
          <w:color w:val="auto"/>
          <w:sz w:val="24"/>
          <w:szCs w:val="24"/>
        </w:rPr>
      </w:pPr>
      <w:bookmarkStart w:id="8" w:name="_Toc183687839"/>
      <w:r w:rsidRPr="0017112B">
        <w:rPr>
          <w:rFonts w:ascii="Times New Roman" w:hAnsi="Times New Roman" w:cs="Times New Roman"/>
          <w:b/>
          <w:color w:val="auto"/>
          <w:sz w:val="24"/>
          <w:szCs w:val="24"/>
        </w:rPr>
        <w:t>Influence on Subsequent Legislation</w:t>
      </w:r>
      <w:bookmarkEnd w:id="8"/>
    </w:p>
    <w:p w:rsidR="00B029F7" w:rsidRPr="0017112B" w:rsidRDefault="0017112B" w:rsidP="0017112B">
      <w:pPr>
        <w:spacing w:line="360" w:lineRule="auto"/>
        <w:jc w:val="both"/>
        <w:rPr>
          <w:rFonts w:ascii="Times New Roman" w:eastAsia="Times New Roman" w:hAnsi="Times New Roman" w:cs="Times New Roman"/>
          <w:sz w:val="24"/>
          <w:szCs w:val="24"/>
        </w:rPr>
      </w:pPr>
      <w:r w:rsidRPr="0017112B">
        <w:rPr>
          <w:rFonts w:ascii="Times New Roman" w:eastAsia="Times New Roman" w:hAnsi="Times New Roman" w:cs="Times New Roman"/>
          <w:sz w:val="24"/>
          <w:szCs w:val="24"/>
        </w:rPr>
        <w:t xml:space="preserve">The combined effect of the Mabo (No. 2) decision was to trigger a ripple effect in the remaining areas of Australian law, both in the decision and consequential legislation. However, in 1996, the Wik Peoples v Queensland (1996) improved the understanding of Native Title about Mabo (No 2) </w:t>
      </w:r>
      <w:r w:rsidRPr="0017112B">
        <w:rPr>
          <w:rFonts w:ascii="Times New Roman" w:hAnsi="Times New Roman" w:cs="Times New Roman"/>
          <w:sz w:val="24"/>
          <w:szCs w:val="24"/>
          <w:shd w:val="clear" w:color="auto" w:fill="FFFFFF"/>
        </w:rPr>
        <w:lastRenderedPageBreak/>
        <w:t>(</w:t>
      </w:r>
      <w:proofErr w:type="spellStart"/>
      <w:r w:rsidRPr="0017112B">
        <w:rPr>
          <w:rFonts w:ascii="Times New Roman" w:hAnsi="Times New Roman" w:cs="Times New Roman"/>
          <w:sz w:val="24"/>
          <w:szCs w:val="24"/>
          <w:shd w:val="clear" w:color="auto" w:fill="FFFFFF"/>
        </w:rPr>
        <w:t>Dravid</w:t>
      </w:r>
      <w:proofErr w:type="spellEnd"/>
      <w:r w:rsidRPr="0017112B">
        <w:rPr>
          <w:rFonts w:ascii="Times New Roman" w:hAnsi="Times New Roman" w:cs="Times New Roman"/>
          <w:sz w:val="24"/>
          <w:szCs w:val="24"/>
          <w:shd w:val="clear" w:color="auto" w:fill="FFFFFF"/>
        </w:rPr>
        <w:t>, 2023)</w:t>
      </w:r>
      <w:r w:rsidRPr="0017112B">
        <w:rPr>
          <w:rFonts w:ascii="Times New Roman" w:eastAsia="Times New Roman" w:hAnsi="Times New Roman" w:cs="Times New Roman"/>
          <w:sz w:val="24"/>
          <w:szCs w:val="24"/>
        </w:rPr>
        <w:t xml:space="preserve">. High Court's relation to the MABO case again concluded that Native Title co-exists with the pastoral </w:t>
      </w:r>
      <w:proofErr w:type="gramStart"/>
      <w:r w:rsidRPr="0017112B">
        <w:rPr>
          <w:rFonts w:ascii="Times New Roman" w:eastAsia="Times New Roman" w:hAnsi="Times New Roman" w:cs="Times New Roman"/>
          <w:sz w:val="24"/>
          <w:szCs w:val="24"/>
        </w:rPr>
        <w:t>leases</w:t>
      </w:r>
      <w:proofErr w:type="gramEnd"/>
      <w:r w:rsidRPr="0017112B">
        <w:rPr>
          <w:rFonts w:ascii="Times New Roman" w:eastAsia="Times New Roman" w:hAnsi="Times New Roman" w:cs="Times New Roman"/>
          <w:sz w:val="24"/>
          <w:szCs w:val="24"/>
        </w:rPr>
        <w:t xml:space="preserve"> capacity, provided that there should not be any clash or inconsistency between the two rights </w:t>
      </w:r>
      <w:r w:rsidRPr="0017112B">
        <w:rPr>
          <w:rFonts w:ascii="Times New Roman" w:hAnsi="Times New Roman" w:cs="Times New Roman"/>
          <w:sz w:val="24"/>
          <w:szCs w:val="24"/>
          <w:shd w:val="clear" w:color="auto" w:fill="FFFFFF"/>
        </w:rPr>
        <w:t>(</w:t>
      </w:r>
      <w:proofErr w:type="spellStart"/>
      <w:r w:rsidRPr="0017112B">
        <w:rPr>
          <w:rFonts w:ascii="Times New Roman" w:hAnsi="Times New Roman" w:cs="Times New Roman"/>
          <w:sz w:val="24"/>
          <w:szCs w:val="24"/>
          <w:shd w:val="clear" w:color="auto" w:fill="FFFFFF"/>
        </w:rPr>
        <w:t>Chandrashekeran</w:t>
      </w:r>
      <w:proofErr w:type="spellEnd"/>
      <w:r w:rsidRPr="0017112B">
        <w:rPr>
          <w:rFonts w:ascii="Times New Roman" w:hAnsi="Times New Roman" w:cs="Times New Roman"/>
          <w:sz w:val="24"/>
          <w:szCs w:val="24"/>
          <w:shd w:val="clear" w:color="auto" w:fill="FFFFFF"/>
        </w:rPr>
        <w:t>, 2021)</w:t>
      </w:r>
      <w:r w:rsidRPr="0017112B">
        <w:rPr>
          <w:rFonts w:ascii="Times New Roman" w:eastAsia="Times New Roman" w:hAnsi="Times New Roman" w:cs="Times New Roman"/>
          <w:sz w:val="24"/>
          <w:szCs w:val="24"/>
        </w:rPr>
        <w:t>. This interpretation was used to establish that the Native Title framework was flexible enough to allow for numerous uses for the land.</w:t>
      </w:r>
    </w:p>
    <w:p w:rsidR="00B029F7" w:rsidRPr="0017112B" w:rsidRDefault="0017112B" w:rsidP="0017112B">
      <w:pPr>
        <w:spacing w:line="360" w:lineRule="auto"/>
        <w:jc w:val="both"/>
        <w:rPr>
          <w:rFonts w:ascii="Times New Roman" w:eastAsia="Times New Roman" w:hAnsi="Times New Roman" w:cs="Times New Roman"/>
          <w:sz w:val="24"/>
          <w:szCs w:val="24"/>
        </w:rPr>
      </w:pPr>
      <w:r w:rsidRPr="0017112B">
        <w:rPr>
          <w:rFonts w:ascii="Times New Roman" w:eastAsia="Times New Roman" w:hAnsi="Times New Roman" w:cs="Times New Roman"/>
          <w:sz w:val="24"/>
          <w:szCs w:val="24"/>
        </w:rPr>
        <w:t xml:space="preserve">However, the operation of Native Title, which overlaps other property interests, created political and economic conflict. In response, the Native Title Amendment Act 1998 introduced measures that attempted to restore fairness, e.g., more stringent tests for Native Title and better protections for non-Indigenous land owners </w:t>
      </w:r>
      <w:r w:rsidRPr="0017112B">
        <w:rPr>
          <w:rFonts w:ascii="Times New Roman" w:hAnsi="Times New Roman" w:cs="Times New Roman"/>
          <w:sz w:val="24"/>
          <w:szCs w:val="24"/>
          <w:shd w:val="clear" w:color="auto" w:fill="FFFFFF"/>
        </w:rPr>
        <w:t xml:space="preserve">(Racehorse &amp; </w:t>
      </w:r>
      <w:proofErr w:type="spellStart"/>
      <w:r w:rsidRPr="0017112B">
        <w:rPr>
          <w:rFonts w:ascii="Times New Roman" w:hAnsi="Times New Roman" w:cs="Times New Roman"/>
          <w:sz w:val="24"/>
          <w:szCs w:val="24"/>
          <w:shd w:val="clear" w:color="auto" w:fill="FFFFFF"/>
        </w:rPr>
        <w:t>Hohag</w:t>
      </w:r>
      <w:proofErr w:type="spellEnd"/>
      <w:r w:rsidRPr="0017112B">
        <w:rPr>
          <w:rFonts w:ascii="Times New Roman" w:hAnsi="Times New Roman" w:cs="Times New Roman"/>
          <w:sz w:val="24"/>
          <w:szCs w:val="24"/>
          <w:shd w:val="clear" w:color="auto" w:fill="FFFFFF"/>
        </w:rPr>
        <w:t>, 2023)</w:t>
      </w:r>
      <w:r w:rsidRPr="0017112B">
        <w:rPr>
          <w:rFonts w:ascii="Times New Roman" w:eastAsia="Times New Roman" w:hAnsi="Times New Roman" w:cs="Times New Roman"/>
          <w:sz w:val="24"/>
          <w:szCs w:val="24"/>
        </w:rPr>
        <w:t>. These amendments demonstrated how Native Title continued balancing Indigenous peoples' rights and the wider economic interests. They indicated the complexities of incorporating Native Title into the wider Australian legal framework.</w:t>
      </w:r>
    </w:p>
    <w:p w:rsidR="00B6071B" w:rsidRPr="0017112B" w:rsidRDefault="0017112B" w:rsidP="0017112B">
      <w:pPr>
        <w:pStyle w:val="Heading2"/>
        <w:spacing w:line="360" w:lineRule="auto"/>
        <w:jc w:val="both"/>
        <w:rPr>
          <w:rFonts w:ascii="Times New Roman" w:hAnsi="Times New Roman" w:cs="Times New Roman"/>
          <w:b/>
          <w:color w:val="auto"/>
          <w:sz w:val="24"/>
          <w:szCs w:val="24"/>
        </w:rPr>
      </w:pPr>
      <w:bookmarkStart w:id="9" w:name="_Toc183687840"/>
      <w:r w:rsidRPr="0017112B">
        <w:rPr>
          <w:rFonts w:ascii="Times New Roman" w:hAnsi="Times New Roman" w:cs="Times New Roman"/>
          <w:b/>
          <w:color w:val="auto"/>
          <w:sz w:val="24"/>
          <w:szCs w:val="24"/>
        </w:rPr>
        <w:t>Broader Societal Implications</w:t>
      </w:r>
      <w:bookmarkEnd w:id="9"/>
    </w:p>
    <w:p w:rsidR="00B029F7" w:rsidRPr="0017112B" w:rsidRDefault="0017112B" w:rsidP="0017112B">
      <w:pPr>
        <w:spacing w:line="360" w:lineRule="auto"/>
        <w:jc w:val="both"/>
        <w:rPr>
          <w:rFonts w:ascii="Times New Roman" w:eastAsia="Times New Roman" w:hAnsi="Times New Roman" w:cs="Times New Roman"/>
          <w:sz w:val="24"/>
          <w:szCs w:val="24"/>
        </w:rPr>
      </w:pPr>
      <w:r w:rsidRPr="0017112B">
        <w:rPr>
          <w:rFonts w:ascii="Times New Roman" w:eastAsia="Times New Roman" w:hAnsi="Times New Roman" w:cs="Times New Roman"/>
          <w:sz w:val="24"/>
          <w:szCs w:val="24"/>
        </w:rPr>
        <w:t xml:space="preserve">Regardless of its legal context, the Mabo (No 2) case also underlines significant social consequences and calls for a social transformation and Indigenous reconciliation for a better future. In rejecting the legal uploading of the rights of Aboriginal and Torres Strait Islander people on lands, it provided an answer to the previous political and legal narratives that effectively excluded Indigenous Australians </w:t>
      </w:r>
      <w:r w:rsidRPr="0017112B">
        <w:rPr>
          <w:rFonts w:ascii="Times New Roman" w:hAnsi="Times New Roman" w:cs="Times New Roman"/>
          <w:sz w:val="24"/>
          <w:szCs w:val="24"/>
          <w:shd w:val="clear" w:color="auto" w:fill="FFFFFF"/>
        </w:rPr>
        <w:t xml:space="preserve">(Bottomley &amp; </w:t>
      </w:r>
      <w:proofErr w:type="spellStart"/>
      <w:r w:rsidRPr="0017112B">
        <w:rPr>
          <w:rFonts w:ascii="Times New Roman" w:hAnsi="Times New Roman" w:cs="Times New Roman"/>
          <w:sz w:val="24"/>
          <w:szCs w:val="24"/>
          <w:shd w:val="clear" w:color="auto" w:fill="FFFFFF"/>
        </w:rPr>
        <w:t>Bronitt</w:t>
      </w:r>
      <w:proofErr w:type="spellEnd"/>
      <w:r w:rsidRPr="0017112B">
        <w:rPr>
          <w:rFonts w:ascii="Times New Roman" w:hAnsi="Times New Roman" w:cs="Times New Roman"/>
          <w:sz w:val="24"/>
          <w:szCs w:val="24"/>
          <w:shd w:val="clear" w:color="auto" w:fill="FFFFFF"/>
        </w:rPr>
        <w:t>, 2023)</w:t>
      </w:r>
      <w:r w:rsidRPr="0017112B">
        <w:rPr>
          <w:rFonts w:ascii="Times New Roman" w:eastAsia="Times New Roman" w:hAnsi="Times New Roman" w:cs="Times New Roman"/>
          <w:sz w:val="24"/>
          <w:szCs w:val="24"/>
        </w:rPr>
        <w:t>. It served as an opportunity to talk about past wrongs or wrongs that have never been righted in the first place and create the basis for a national conversation on healing and restoration.</w:t>
      </w:r>
    </w:p>
    <w:p w:rsidR="00B029F7" w:rsidRDefault="0017112B" w:rsidP="0017112B">
      <w:pPr>
        <w:spacing w:line="360" w:lineRule="auto"/>
        <w:jc w:val="both"/>
        <w:rPr>
          <w:rFonts w:ascii="Times New Roman" w:eastAsia="Times New Roman" w:hAnsi="Times New Roman" w:cs="Times New Roman"/>
          <w:sz w:val="24"/>
          <w:szCs w:val="24"/>
        </w:rPr>
      </w:pPr>
      <w:r w:rsidRPr="0017112B">
        <w:rPr>
          <w:rFonts w:ascii="Times New Roman" w:eastAsia="Times New Roman" w:hAnsi="Times New Roman" w:cs="Times New Roman"/>
          <w:sz w:val="24"/>
          <w:szCs w:val="24"/>
        </w:rPr>
        <w:t>The case also highlighted how Australia's Indigenous people were treated by bringing the country into the global indigenous rights movements. Nonetheless, there was a political backlash to the decision that accompanied some segments of political and economic elites, considering it a threat to land development and investment. This opposition provided insight into the tension between getting justice for Indigenous Australians and other individuals in the country.</w:t>
      </w:r>
    </w:p>
    <w:p w:rsidR="00EE2CC5" w:rsidRPr="008766A2" w:rsidRDefault="00EE2CC5" w:rsidP="00EE2CC5">
      <w:pPr>
        <w:pStyle w:val="Heading1"/>
        <w:spacing w:line="360" w:lineRule="auto"/>
        <w:jc w:val="both"/>
        <w:rPr>
          <w:rFonts w:ascii="Times New Roman" w:eastAsia="Times New Roman" w:hAnsi="Times New Roman" w:cs="Times New Roman"/>
          <w:b/>
          <w:color w:val="auto"/>
          <w:sz w:val="24"/>
          <w:szCs w:val="24"/>
        </w:rPr>
      </w:pPr>
      <w:bookmarkStart w:id="10" w:name="_Toc183687841"/>
      <w:r w:rsidRPr="008766A2">
        <w:rPr>
          <w:rFonts w:ascii="Times New Roman" w:eastAsia="Times New Roman" w:hAnsi="Times New Roman" w:cs="Times New Roman"/>
          <w:b/>
          <w:color w:val="auto"/>
          <w:sz w:val="24"/>
          <w:szCs w:val="24"/>
        </w:rPr>
        <w:t>Shortfalls of the Current Legal System Regarding Native Title</w:t>
      </w:r>
      <w:bookmarkEnd w:id="10"/>
    </w:p>
    <w:p w:rsidR="00EE2CC5" w:rsidRPr="008766A2" w:rsidRDefault="00EE2CC5" w:rsidP="00EE2CC5">
      <w:pPr>
        <w:pStyle w:val="Heading2"/>
        <w:spacing w:line="360" w:lineRule="auto"/>
        <w:jc w:val="both"/>
        <w:rPr>
          <w:rFonts w:ascii="Times New Roman" w:eastAsia="Times New Roman" w:hAnsi="Times New Roman" w:cs="Times New Roman"/>
          <w:b/>
          <w:color w:val="auto"/>
          <w:sz w:val="24"/>
          <w:szCs w:val="24"/>
        </w:rPr>
      </w:pPr>
      <w:bookmarkStart w:id="11" w:name="_Toc183687842"/>
      <w:r w:rsidRPr="008766A2">
        <w:rPr>
          <w:rFonts w:ascii="Times New Roman" w:eastAsia="Times New Roman" w:hAnsi="Times New Roman" w:cs="Times New Roman"/>
          <w:b/>
          <w:color w:val="auto"/>
          <w:sz w:val="24"/>
          <w:szCs w:val="24"/>
        </w:rPr>
        <w:t>Gaps and Limitations in the Native Title Framework</w:t>
      </w:r>
      <w:bookmarkEnd w:id="11"/>
    </w:p>
    <w:p w:rsidR="00EE2CC5" w:rsidRPr="008766A2" w:rsidRDefault="00EE2CC5" w:rsidP="00EE2CC5">
      <w:pPr>
        <w:spacing w:line="360" w:lineRule="auto"/>
        <w:jc w:val="both"/>
        <w:rPr>
          <w:rFonts w:ascii="Times New Roman" w:hAnsi="Times New Roman" w:cs="Times New Roman"/>
          <w:sz w:val="24"/>
          <w:szCs w:val="24"/>
        </w:rPr>
      </w:pPr>
      <w:r w:rsidRPr="008766A2">
        <w:rPr>
          <w:rFonts w:ascii="Times New Roman" w:hAnsi="Times New Roman" w:cs="Times New Roman"/>
          <w:sz w:val="24"/>
          <w:szCs w:val="24"/>
        </w:rPr>
        <w:t xml:space="preserve">Nevertheless, despite measures of legal development as embodied through the Mabo (No 2) decision and the Native Title Act 1993 (NTA), the framework has imperfect deficiencies </w:t>
      </w:r>
      <w:r w:rsidRPr="008766A2">
        <w:rPr>
          <w:rFonts w:ascii="Times New Roman" w:hAnsi="Times New Roman" w:cs="Times New Roman"/>
          <w:sz w:val="24"/>
          <w:szCs w:val="24"/>
          <w:shd w:val="clear" w:color="auto" w:fill="FFFFFF"/>
        </w:rPr>
        <w:lastRenderedPageBreak/>
        <w:t>(</w:t>
      </w:r>
      <w:proofErr w:type="spellStart"/>
      <w:r w:rsidRPr="008766A2">
        <w:rPr>
          <w:rFonts w:ascii="Times New Roman" w:hAnsi="Times New Roman" w:cs="Times New Roman"/>
          <w:sz w:val="24"/>
          <w:szCs w:val="24"/>
          <w:shd w:val="clear" w:color="auto" w:fill="FFFFFF"/>
        </w:rPr>
        <w:t>Holtheuer</w:t>
      </w:r>
      <w:proofErr w:type="spellEnd"/>
      <w:r w:rsidRPr="008766A2">
        <w:rPr>
          <w:rFonts w:ascii="Times New Roman" w:hAnsi="Times New Roman" w:cs="Times New Roman"/>
          <w:sz w:val="24"/>
          <w:szCs w:val="24"/>
          <w:shd w:val="clear" w:color="auto" w:fill="FFFFFF"/>
        </w:rPr>
        <w:t>, 2023)</w:t>
      </w:r>
      <w:r w:rsidRPr="008766A2">
        <w:rPr>
          <w:rFonts w:ascii="Times New Roman" w:hAnsi="Times New Roman" w:cs="Times New Roman"/>
          <w:sz w:val="24"/>
          <w:szCs w:val="24"/>
        </w:rPr>
        <w:t>. These shortcomings sometimes compromise the exercise of Indigenous people's land rights.</w:t>
      </w:r>
    </w:p>
    <w:p w:rsidR="00EE2CC5" w:rsidRPr="008766A2" w:rsidRDefault="00EE2CC5" w:rsidP="00EE2CC5">
      <w:pPr>
        <w:spacing w:line="360" w:lineRule="auto"/>
        <w:jc w:val="both"/>
        <w:rPr>
          <w:rFonts w:ascii="Times New Roman" w:hAnsi="Times New Roman" w:cs="Times New Roman"/>
          <w:sz w:val="24"/>
          <w:szCs w:val="24"/>
        </w:rPr>
      </w:pPr>
      <w:r w:rsidRPr="008766A2">
        <w:rPr>
          <w:rFonts w:ascii="Times New Roman" w:hAnsi="Times New Roman" w:cs="Times New Roman"/>
          <w:sz w:val="24"/>
          <w:szCs w:val="24"/>
        </w:rPr>
        <w:t xml:space="preserve">They opine that one primary concern is the legal burden of proof that Indigenous peoples have to provide. The legal test for the proof of continuity of connection to the land under the traditional laws and customs is sometimes a cumbersome undertaking that takes long. This is especially hard for those Indigenous people who were expelled from their ancestral homelands or those who have had a disrupted connection to the Country resulting from past </w:t>
      </w:r>
      <w:proofErr w:type="spellStart"/>
      <w:r w:rsidRPr="008766A2">
        <w:rPr>
          <w:rFonts w:ascii="Times New Roman" w:hAnsi="Times New Roman" w:cs="Times New Roman"/>
          <w:sz w:val="24"/>
          <w:szCs w:val="24"/>
        </w:rPr>
        <w:t>colonisation</w:t>
      </w:r>
      <w:proofErr w:type="spellEnd"/>
      <w:r w:rsidRPr="008766A2">
        <w:rPr>
          <w:rFonts w:ascii="Times New Roman" w:hAnsi="Times New Roman" w:cs="Times New Roman"/>
          <w:sz w:val="24"/>
          <w:szCs w:val="24"/>
        </w:rPr>
        <w:t xml:space="preserve"> policies, for example, forced removal of children under the Stolen Generations. Deculturalization resulting from such policies often renders it almost impossible to satisfy the legally prescribed tests of Native Title </w:t>
      </w:r>
      <w:r w:rsidRPr="008766A2">
        <w:rPr>
          <w:rFonts w:ascii="Times New Roman" w:hAnsi="Times New Roman" w:cs="Times New Roman"/>
          <w:sz w:val="24"/>
          <w:szCs w:val="24"/>
          <w:shd w:val="clear" w:color="auto" w:fill="FFFFFF"/>
        </w:rPr>
        <w:t>(Lillie, 2023)</w:t>
      </w:r>
      <w:r w:rsidRPr="008766A2">
        <w:rPr>
          <w:rFonts w:ascii="Times New Roman" w:hAnsi="Times New Roman" w:cs="Times New Roman"/>
          <w:sz w:val="24"/>
          <w:szCs w:val="24"/>
        </w:rPr>
        <w:t xml:space="preserve">. Also, Native Title can be terminated by other incompatible uses of the said land. The operation of law extinguishes Native Title through specific conduct, such as providing freehold titles or long-term leases or creating public works infrastructure. </w:t>
      </w:r>
    </w:p>
    <w:p w:rsidR="00EE2CC5" w:rsidRPr="008766A2" w:rsidRDefault="00EE2CC5" w:rsidP="00EE2CC5">
      <w:pPr>
        <w:pStyle w:val="Heading2"/>
        <w:spacing w:line="360" w:lineRule="auto"/>
        <w:jc w:val="both"/>
        <w:rPr>
          <w:rFonts w:ascii="Times New Roman" w:eastAsia="Times New Roman" w:hAnsi="Times New Roman" w:cs="Times New Roman"/>
          <w:b/>
          <w:color w:val="auto"/>
          <w:sz w:val="24"/>
          <w:szCs w:val="24"/>
        </w:rPr>
      </w:pPr>
      <w:bookmarkStart w:id="12" w:name="_Toc183687843"/>
      <w:r w:rsidRPr="008766A2">
        <w:rPr>
          <w:rFonts w:ascii="Times New Roman" w:eastAsia="Times New Roman" w:hAnsi="Times New Roman" w:cs="Times New Roman"/>
          <w:b/>
          <w:color w:val="auto"/>
          <w:sz w:val="24"/>
          <w:szCs w:val="24"/>
        </w:rPr>
        <w:t>Challenges in Claiming and Maintaining Native Title</w:t>
      </w:r>
      <w:bookmarkEnd w:id="12"/>
    </w:p>
    <w:p w:rsidR="00EE2CC5" w:rsidRPr="008766A2" w:rsidRDefault="00EE2CC5" w:rsidP="00EE2CC5">
      <w:pPr>
        <w:spacing w:line="360" w:lineRule="auto"/>
        <w:jc w:val="both"/>
        <w:rPr>
          <w:rFonts w:ascii="Times New Roman" w:hAnsi="Times New Roman" w:cs="Times New Roman"/>
          <w:sz w:val="24"/>
          <w:szCs w:val="24"/>
        </w:rPr>
      </w:pPr>
      <w:r w:rsidRPr="008766A2">
        <w:rPr>
          <w:rFonts w:ascii="Times New Roman" w:hAnsi="Times New Roman" w:cs="Times New Roman"/>
          <w:sz w:val="24"/>
          <w:szCs w:val="24"/>
        </w:rPr>
        <w:t xml:space="preserve">The other issue is that the Native Title system's procedural issues are also complicated. The procedural steps in filing, bargaining, and suing claims are costly and cumbersome, requiring legal advice and support and sometimes high-quality evidence </w:t>
      </w:r>
      <w:r w:rsidRPr="008766A2">
        <w:rPr>
          <w:rFonts w:ascii="Times New Roman" w:hAnsi="Times New Roman" w:cs="Times New Roman"/>
          <w:sz w:val="24"/>
          <w:szCs w:val="24"/>
          <w:shd w:val="clear" w:color="auto" w:fill="FFFFFF"/>
        </w:rPr>
        <w:t xml:space="preserve">(Neumann Jr, Margolis &amp; </w:t>
      </w:r>
      <w:proofErr w:type="spellStart"/>
      <w:r w:rsidRPr="008766A2">
        <w:rPr>
          <w:rFonts w:ascii="Times New Roman" w:hAnsi="Times New Roman" w:cs="Times New Roman"/>
          <w:sz w:val="24"/>
          <w:szCs w:val="24"/>
          <w:shd w:val="clear" w:color="auto" w:fill="FFFFFF"/>
        </w:rPr>
        <w:t>Stanchi</w:t>
      </w:r>
      <w:proofErr w:type="spellEnd"/>
      <w:r w:rsidRPr="008766A2">
        <w:rPr>
          <w:rFonts w:ascii="Times New Roman" w:hAnsi="Times New Roman" w:cs="Times New Roman"/>
          <w:sz w:val="24"/>
          <w:szCs w:val="24"/>
          <w:shd w:val="clear" w:color="auto" w:fill="FFFFFF"/>
        </w:rPr>
        <w:t>, 2021)</w:t>
      </w:r>
      <w:r w:rsidRPr="008766A2">
        <w:rPr>
          <w:rFonts w:ascii="Times New Roman" w:hAnsi="Times New Roman" w:cs="Times New Roman"/>
          <w:sz w:val="24"/>
          <w:szCs w:val="24"/>
        </w:rPr>
        <w:t xml:space="preserve">. </w:t>
      </w:r>
      <w:r w:rsidR="00EF25C3">
        <w:rPr>
          <w:rFonts w:ascii="Times New Roman" w:hAnsi="Times New Roman" w:cs="Times New Roman"/>
          <w:sz w:val="24"/>
          <w:szCs w:val="24"/>
        </w:rPr>
        <w:t>These</w:t>
      </w:r>
      <w:r w:rsidRPr="008766A2">
        <w:rPr>
          <w:rFonts w:ascii="Times New Roman" w:hAnsi="Times New Roman" w:cs="Times New Roman"/>
          <w:sz w:val="24"/>
          <w:szCs w:val="24"/>
        </w:rPr>
        <w:t xml:space="preserve"> requirements have become the financial and logistic challenges that limit Indigenous communities' chances of successfully asserting their Native Title.</w:t>
      </w:r>
    </w:p>
    <w:p w:rsidR="00EE2CC5" w:rsidRPr="008766A2" w:rsidRDefault="00EE2CC5" w:rsidP="00EE2CC5">
      <w:pPr>
        <w:spacing w:line="360" w:lineRule="auto"/>
        <w:jc w:val="both"/>
        <w:rPr>
          <w:rFonts w:ascii="Times New Roman" w:hAnsi="Times New Roman" w:cs="Times New Roman"/>
          <w:sz w:val="24"/>
          <w:szCs w:val="24"/>
        </w:rPr>
      </w:pPr>
      <w:r w:rsidRPr="008766A2">
        <w:rPr>
          <w:rFonts w:ascii="Times New Roman" w:hAnsi="Times New Roman" w:cs="Times New Roman"/>
          <w:sz w:val="24"/>
          <w:szCs w:val="24"/>
        </w:rPr>
        <w:t xml:space="preserve">If the Europeanisation of claims is possible, then it is still not without its challenges; MTO lists some of the difficulties in maintaining Native Title rights even when a Native Title claim has been acknowledged: Native Title and other interests, most commonly pastoral leases, exist and this competition sometimes leads to disputes of usage of the pieces of land </w:t>
      </w:r>
      <w:r w:rsidRPr="008766A2">
        <w:rPr>
          <w:rFonts w:ascii="Times New Roman" w:hAnsi="Times New Roman" w:cs="Times New Roman"/>
          <w:sz w:val="24"/>
          <w:szCs w:val="24"/>
          <w:shd w:val="clear" w:color="auto" w:fill="FFFFFF"/>
        </w:rPr>
        <w:t xml:space="preserve">(Meyers &amp; </w:t>
      </w:r>
      <w:proofErr w:type="spellStart"/>
      <w:r w:rsidRPr="008766A2">
        <w:rPr>
          <w:rFonts w:ascii="Times New Roman" w:hAnsi="Times New Roman" w:cs="Times New Roman"/>
          <w:sz w:val="24"/>
          <w:szCs w:val="24"/>
          <w:shd w:val="clear" w:color="auto" w:fill="FFFFFF"/>
        </w:rPr>
        <w:t>Mugambwa</w:t>
      </w:r>
      <w:proofErr w:type="spellEnd"/>
      <w:r w:rsidRPr="008766A2">
        <w:rPr>
          <w:rFonts w:ascii="Times New Roman" w:hAnsi="Times New Roman" w:cs="Times New Roman"/>
          <w:sz w:val="24"/>
          <w:szCs w:val="24"/>
          <w:shd w:val="clear" w:color="auto" w:fill="FFFFFF"/>
        </w:rPr>
        <w:t>, 1993)</w:t>
      </w:r>
      <w:r w:rsidRPr="008766A2">
        <w:rPr>
          <w:rFonts w:ascii="Times New Roman" w:hAnsi="Times New Roman" w:cs="Times New Roman"/>
          <w:sz w:val="24"/>
          <w:szCs w:val="24"/>
        </w:rPr>
        <w:t xml:space="preserve">. In such situations, Indigenous people tend to be in vulnerable positions for several reasons because their culture and requirements are usually neglected for the vane of economic development or </w:t>
      </w:r>
      <w:proofErr w:type="spellStart"/>
      <w:r w:rsidRPr="008766A2">
        <w:rPr>
          <w:rFonts w:ascii="Times New Roman" w:hAnsi="Times New Roman" w:cs="Times New Roman"/>
          <w:sz w:val="24"/>
          <w:szCs w:val="24"/>
        </w:rPr>
        <w:t>industrialisation</w:t>
      </w:r>
      <w:proofErr w:type="spellEnd"/>
      <w:r w:rsidRPr="008766A2">
        <w:rPr>
          <w:rFonts w:ascii="Times New Roman" w:hAnsi="Times New Roman" w:cs="Times New Roman"/>
          <w:sz w:val="24"/>
          <w:szCs w:val="24"/>
        </w:rPr>
        <w:t>.</w:t>
      </w:r>
    </w:p>
    <w:p w:rsidR="00EE2CC5" w:rsidRPr="008766A2" w:rsidRDefault="00EE2CC5" w:rsidP="00EE2CC5">
      <w:pPr>
        <w:pStyle w:val="Heading1"/>
        <w:spacing w:line="360" w:lineRule="auto"/>
        <w:jc w:val="both"/>
        <w:rPr>
          <w:rFonts w:ascii="Times New Roman" w:eastAsia="Times New Roman" w:hAnsi="Times New Roman" w:cs="Times New Roman"/>
          <w:b/>
          <w:color w:val="auto"/>
          <w:sz w:val="24"/>
          <w:szCs w:val="24"/>
        </w:rPr>
      </w:pPr>
      <w:bookmarkStart w:id="13" w:name="_Toc183687844"/>
      <w:r w:rsidRPr="008766A2">
        <w:rPr>
          <w:rFonts w:ascii="Times New Roman" w:eastAsia="Times New Roman" w:hAnsi="Times New Roman" w:cs="Times New Roman"/>
          <w:b/>
          <w:color w:val="auto"/>
          <w:sz w:val="24"/>
          <w:szCs w:val="24"/>
        </w:rPr>
        <w:t>The Future of Native Title</w:t>
      </w:r>
      <w:bookmarkEnd w:id="13"/>
    </w:p>
    <w:p w:rsidR="00EE2CC5" w:rsidRPr="008766A2" w:rsidRDefault="00EE2CC5" w:rsidP="00EE2CC5">
      <w:pPr>
        <w:pStyle w:val="Heading2"/>
        <w:spacing w:line="360" w:lineRule="auto"/>
        <w:jc w:val="both"/>
        <w:rPr>
          <w:rFonts w:ascii="Times New Roman" w:eastAsia="Times New Roman" w:hAnsi="Times New Roman" w:cs="Times New Roman"/>
          <w:b/>
          <w:color w:val="auto"/>
          <w:sz w:val="24"/>
          <w:szCs w:val="24"/>
        </w:rPr>
      </w:pPr>
      <w:bookmarkStart w:id="14" w:name="_Toc183687845"/>
      <w:r w:rsidRPr="008766A2">
        <w:rPr>
          <w:rFonts w:ascii="Times New Roman" w:eastAsia="Times New Roman" w:hAnsi="Times New Roman" w:cs="Times New Roman"/>
          <w:b/>
          <w:color w:val="auto"/>
          <w:sz w:val="24"/>
          <w:szCs w:val="24"/>
        </w:rPr>
        <w:t>Potential Reforms to Address Shortfalls</w:t>
      </w:r>
      <w:bookmarkEnd w:id="14"/>
    </w:p>
    <w:p w:rsidR="00EE2CC5" w:rsidRPr="008766A2" w:rsidRDefault="00EE2CC5" w:rsidP="00EE2CC5">
      <w:pPr>
        <w:spacing w:line="360" w:lineRule="auto"/>
        <w:jc w:val="both"/>
        <w:rPr>
          <w:rFonts w:ascii="Times New Roman" w:hAnsi="Times New Roman" w:cs="Times New Roman"/>
          <w:sz w:val="24"/>
          <w:szCs w:val="24"/>
        </w:rPr>
      </w:pPr>
      <w:r w:rsidRPr="008766A2">
        <w:rPr>
          <w:rFonts w:ascii="Times New Roman" w:hAnsi="Times New Roman" w:cs="Times New Roman"/>
          <w:sz w:val="24"/>
          <w:szCs w:val="24"/>
        </w:rPr>
        <w:t xml:space="preserve">Changes in Native Title to eliminate its perceived problems, thereby providing justice to Indigenous Australians, remain pertinent in present-day society. The central area that needs some </w:t>
      </w:r>
      <w:r w:rsidRPr="008766A2">
        <w:rPr>
          <w:rFonts w:ascii="Times New Roman" w:hAnsi="Times New Roman" w:cs="Times New Roman"/>
          <w:sz w:val="24"/>
          <w:szCs w:val="24"/>
        </w:rPr>
        <w:lastRenderedPageBreak/>
        <w:t xml:space="preserve">change now is the standard of proof for establishing Native Title </w:t>
      </w:r>
      <w:r w:rsidRPr="008766A2">
        <w:rPr>
          <w:rFonts w:ascii="Times New Roman" w:hAnsi="Times New Roman" w:cs="Times New Roman"/>
          <w:sz w:val="24"/>
          <w:szCs w:val="24"/>
          <w:shd w:val="clear" w:color="auto" w:fill="FFFFFF"/>
        </w:rPr>
        <w:t>(Ingram, 2021)</w:t>
      </w:r>
      <w:r w:rsidRPr="008766A2">
        <w:rPr>
          <w:rFonts w:ascii="Times New Roman" w:hAnsi="Times New Roman" w:cs="Times New Roman"/>
          <w:sz w:val="24"/>
          <w:szCs w:val="24"/>
        </w:rPr>
        <w:t xml:space="preserve">. The implemented changes propose MOMA that addresses the effects of displacement and culture disruption to streamline the comprehensiveness of the claims program. For example, legislative changes permit forms of proof, other than written and witness statements, to be used in Native Title claims such as oral histories </w:t>
      </w:r>
      <w:r w:rsidRPr="008766A2">
        <w:rPr>
          <w:rFonts w:ascii="Times New Roman" w:hAnsi="Times New Roman" w:cs="Times New Roman"/>
          <w:sz w:val="24"/>
          <w:szCs w:val="24"/>
          <w:shd w:val="clear" w:color="auto" w:fill="FFFFFF"/>
        </w:rPr>
        <w:t>(Miller, 2024)</w:t>
      </w:r>
      <w:r w:rsidRPr="008766A2">
        <w:rPr>
          <w:rFonts w:ascii="Times New Roman" w:hAnsi="Times New Roman" w:cs="Times New Roman"/>
          <w:sz w:val="24"/>
          <w:szCs w:val="24"/>
        </w:rPr>
        <w:t xml:space="preserve">. Another reform covers the attempt to enhance the protection from the extinguishment of Native Title. An area which affects Native Title while protecting it from being overrun by other uses is through policy changes. Having procedures for compulsory consultation and entitlement for reparation in case of extinguishment offered less certainty to Indigenous peoples </w:t>
      </w:r>
      <w:r w:rsidRPr="008766A2">
        <w:rPr>
          <w:rFonts w:ascii="Times New Roman" w:hAnsi="Times New Roman" w:cs="Times New Roman"/>
          <w:sz w:val="24"/>
          <w:szCs w:val="24"/>
          <w:shd w:val="clear" w:color="auto" w:fill="FFFFFF"/>
        </w:rPr>
        <w:t>(McIvor, 2021)</w:t>
      </w:r>
      <w:r w:rsidRPr="008766A2">
        <w:rPr>
          <w:rFonts w:ascii="Times New Roman" w:hAnsi="Times New Roman" w:cs="Times New Roman"/>
          <w:sz w:val="24"/>
          <w:szCs w:val="24"/>
        </w:rPr>
        <w:t>.</w:t>
      </w:r>
    </w:p>
    <w:p w:rsidR="00EE2CC5" w:rsidRPr="008766A2" w:rsidRDefault="00EE2CC5" w:rsidP="00EE2CC5">
      <w:pPr>
        <w:spacing w:line="360" w:lineRule="auto"/>
        <w:jc w:val="both"/>
        <w:rPr>
          <w:rFonts w:ascii="Times New Roman" w:hAnsi="Times New Roman" w:cs="Times New Roman"/>
          <w:sz w:val="24"/>
          <w:szCs w:val="24"/>
        </w:rPr>
      </w:pPr>
      <w:r w:rsidRPr="008766A2">
        <w:rPr>
          <w:rFonts w:ascii="Times New Roman" w:hAnsi="Times New Roman" w:cs="Times New Roman"/>
          <w:sz w:val="24"/>
          <w:szCs w:val="24"/>
        </w:rPr>
        <w:t xml:space="preserve">Other areas that require enhanced funding and support for PBCs are also vital for better managing Native Title rights. Giving these </w:t>
      </w:r>
      <w:proofErr w:type="spellStart"/>
      <w:r w:rsidRPr="008766A2">
        <w:rPr>
          <w:rFonts w:ascii="Times New Roman" w:hAnsi="Times New Roman" w:cs="Times New Roman"/>
          <w:sz w:val="24"/>
          <w:szCs w:val="24"/>
        </w:rPr>
        <w:t>organisations</w:t>
      </w:r>
      <w:proofErr w:type="spellEnd"/>
      <w:r w:rsidRPr="008766A2">
        <w:rPr>
          <w:rFonts w:ascii="Times New Roman" w:hAnsi="Times New Roman" w:cs="Times New Roman"/>
          <w:sz w:val="24"/>
          <w:szCs w:val="24"/>
        </w:rPr>
        <w:t xml:space="preserve"> enough funding and support in administration increases their ability to fight for their communities and work their way through the legal and political frameworks.</w:t>
      </w:r>
    </w:p>
    <w:p w:rsidR="00EE2CC5" w:rsidRPr="008766A2" w:rsidRDefault="00EE2CC5" w:rsidP="00EE2CC5">
      <w:pPr>
        <w:pStyle w:val="Heading2"/>
        <w:spacing w:line="360" w:lineRule="auto"/>
        <w:jc w:val="both"/>
        <w:rPr>
          <w:rFonts w:ascii="Times New Roman" w:eastAsia="Times New Roman" w:hAnsi="Times New Roman" w:cs="Times New Roman"/>
          <w:b/>
          <w:color w:val="auto"/>
          <w:sz w:val="24"/>
          <w:szCs w:val="24"/>
        </w:rPr>
      </w:pPr>
      <w:bookmarkStart w:id="15" w:name="_Toc183687846"/>
      <w:r w:rsidRPr="008766A2">
        <w:rPr>
          <w:rFonts w:ascii="Times New Roman" w:eastAsia="Times New Roman" w:hAnsi="Times New Roman" w:cs="Times New Roman"/>
          <w:b/>
          <w:color w:val="auto"/>
          <w:sz w:val="24"/>
          <w:szCs w:val="24"/>
        </w:rPr>
        <w:t>Predicted Evolution of Native Title Legislation and Policies</w:t>
      </w:r>
      <w:bookmarkEnd w:id="15"/>
    </w:p>
    <w:p w:rsidR="00EE2CC5" w:rsidRPr="008766A2" w:rsidRDefault="00EE2CC5" w:rsidP="00EE2CC5">
      <w:pPr>
        <w:spacing w:line="360" w:lineRule="auto"/>
        <w:jc w:val="both"/>
        <w:rPr>
          <w:rFonts w:ascii="Times New Roman" w:hAnsi="Times New Roman" w:cs="Times New Roman"/>
          <w:sz w:val="24"/>
          <w:szCs w:val="24"/>
        </w:rPr>
      </w:pPr>
      <w:r w:rsidRPr="008766A2">
        <w:rPr>
          <w:rFonts w:ascii="Times New Roman" w:hAnsi="Times New Roman" w:cs="Times New Roman"/>
          <w:sz w:val="24"/>
          <w:szCs w:val="24"/>
        </w:rPr>
        <w:t xml:space="preserve">In the future, it can be anticipated that Native Title legislation will change due to enhanced Indigenous rights and active people’s appreciation for the role of Indigenous people and rigid native title legislation. Novel legal concepts like cultural heritage rights and the Indigenous Peoples' participation in the management of the Lands can inform future adjustments </w:t>
      </w:r>
      <w:r w:rsidRPr="008766A2">
        <w:rPr>
          <w:rFonts w:ascii="Times New Roman" w:hAnsi="Times New Roman" w:cs="Times New Roman"/>
          <w:sz w:val="24"/>
          <w:szCs w:val="24"/>
          <w:shd w:val="clear" w:color="auto" w:fill="FFFFFF"/>
        </w:rPr>
        <w:t xml:space="preserve">(Grey &amp; </w:t>
      </w:r>
      <w:proofErr w:type="spellStart"/>
      <w:r w:rsidRPr="008766A2">
        <w:rPr>
          <w:rFonts w:ascii="Times New Roman" w:hAnsi="Times New Roman" w:cs="Times New Roman"/>
          <w:sz w:val="24"/>
          <w:szCs w:val="24"/>
          <w:shd w:val="clear" w:color="auto" w:fill="FFFFFF"/>
        </w:rPr>
        <w:t>Kuokkanen</w:t>
      </w:r>
      <w:proofErr w:type="spellEnd"/>
      <w:r w:rsidRPr="008766A2">
        <w:rPr>
          <w:rFonts w:ascii="Times New Roman" w:hAnsi="Times New Roman" w:cs="Times New Roman"/>
          <w:sz w:val="24"/>
          <w:szCs w:val="24"/>
          <w:shd w:val="clear" w:color="auto" w:fill="FFFFFF"/>
        </w:rPr>
        <w:t>, 2020)</w:t>
      </w:r>
      <w:r w:rsidRPr="008766A2">
        <w:rPr>
          <w:rFonts w:ascii="Times New Roman" w:hAnsi="Times New Roman" w:cs="Times New Roman"/>
          <w:sz w:val="24"/>
          <w:szCs w:val="24"/>
        </w:rPr>
        <w:t>. These shifts are caused by social trends in international law where systems like the United Nations Declaration on the Rights of Indigenous Peoples (UNDRIP) /UDRI call for enhancing Indigenous people's status and self-governance.</w:t>
      </w:r>
    </w:p>
    <w:p w:rsidR="00EE2CC5" w:rsidRPr="008766A2" w:rsidRDefault="00EE2CC5" w:rsidP="00EE2CC5">
      <w:pPr>
        <w:spacing w:line="360" w:lineRule="auto"/>
        <w:jc w:val="both"/>
        <w:rPr>
          <w:rFonts w:ascii="Times New Roman" w:hAnsi="Times New Roman" w:cs="Times New Roman"/>
          <w:sz w:val="24"/>
          <w:szCs w:val="24"/>
        </w:rPr>
      </w:pPr>
      <w:r w:rsidRPr="008766A2">
        <w:rPr>
          <w:rFonts w:ascii="Times New Roman" w:hAnsi="Times New Roman" w:cs="Times New Roman"/>
          <w:sz w:val="24"/>
          <w:szCs w:val="24"/>
        </w:rPr>
        <w:t xml:space="preserve">Tribal progress is also sparked by technology concerns and the need to articulate changes to Native Title practices. Technology that documents Indigenous land use and practices to map them helps simplify the claiming process and allows Indigenous people to argue their case with far more evidence </w:t>
      </w:r>
      <w:r w:rsidRPr="008766A2">
        <w:rPr>
          <w:rFonts w:ascii="Times New Roman" w:hAnsi="Times New Roman" w:cs="Times New Roman"/>
          <w:sz w:val="24"/>
          <w:szCs w:val="24"/>
          <w:shd w:val="clear" w:color="auto" w:fill="FFFFFF"/>
        </w:rPr>
        <w:t>(</w:t>
      </w:r>
      <w:proofErr w:type="spellStart"/>
      <w:r w:rsidRPr="008766A2">
        <w:rPr>
          <w:rFonts w:ascii="Times New Roman" w:hAnsi="Times New Roman" w:cs="Times New Roman"/>
          <w:sz w:val="24"/>
          <w:szCs w:val="24"/>
          <w:shd w:val="clear" w:color="auto" w:fill="FFFFFF"/>
        </w:rPr>
        <w:t>Chipofya</w:t>
      </w:r>
      <w:proofErr w:type="spellEnd"/>
      <w:r w:rsidRPr="008766A2">
        <w:rPr>
          <w:rFonts w:ascii="Times New Roman" w:hAnsi="Times New Roman" w:cs="Times New Roman"/>
          <w:sz w:val="24"/>
          <w:szCs w:val="24"/>
          <w:shd w:val="clear" w:color="auto" w:fill="FFFFFF"/>
        </w:rPr>
        <w:t xml:space="preserve">, Jan &amp; </w:t>
      </w:r>
      <w:proofErr w:type="spellStart"/>
      <w:r w:rsidRPr="008766A2">
        <w:rPr>
          <w:rFonts w:ascii="Times New Roman" w:hAnsi="Times New Roman" w:cs="Times New Roman"/>
          <w:sz w:val="24"/>
          <w:szCs w:val="24"/>
          <w:shd w:val="clear" w:color="auto" w:fill="FFFFFF"/>
        </w:rPr>
        <w:t>Schwering</w:t>
      </w:r>
      <w:proofErr w:type="spellEnd"/>
      <w:r w:rsidRPr="008766A2">
        <w:rPr>
          <w:rFonts w:ascii="Times New Roman" w:hAnsi="Times New Roman" w:cs="Times New Roman"/>
          <w:sz w:val="24"/>
          <w:szCs w:val="24"/>
          <w:shd w:val="clear" w:color="auto" w:fill="FFFFFF"/>
        </w:rPr>
        <w:t>, 2021)</w:t>
      </w:r>
      <w:r w:rsidRPr="008766A2">
        <w:rPr>
          <w:rFonts w:ascii="Times New Roman" w:hAnsi="Times New Roman" w:cs="Times New Roman"/>
          <w:sz w:val="24"/>
          <w:szCs w:val="24"/>
        </w:rPr>
        <w:t>. Furthermore, changing dynamics of treaty-making in Australia led to new forms of Indigenous peoples' rights to land, due mainly to the shift in the terms of reference beyond the regular legal treaties that have been discussed in Australia since the colonial period, with the possibilities of recompense of the historical injustices committed, and development of a new reciprocal partnership between Indigenous and other peoples of Australia.</w:t>
      </w:r>
    </w:p>
    <w:p w:rsidR="00EE2CC5" w:rsidRPr="008766A2" w:rsidRDefault="00EE2CC5" w:rsidP="00EE2CC5">
      <w:pPr>
        <w:pStyle w:val="Heading1"/>
        <w:spacing w:line="360" w:lineRule="auto"/>
        <w:jc w:val="both"/>
        <w:rPr>
          <w:rFonts w:ascii="Times New Roman" w:eastAsia="Times New Roman" w:hAnsi="Times New Roman" w:cs="Times New Roman"/>
          <w:b/>
          <w:color w:val="auto"/>
          <w:sz w:val="24"/>
          <w:szCs w:val="24"/>
        </w:rPr>
      </w:pPr>
      <w:bookmarkStart w:id="16" w:name="_Toc183687847"/>
      <w:r w:rsidRPr="008766A2">
        <w:rPr>
          <w:rFonts w:ascii="Times New Roman" w:eastAsia="Times New Roman" w:hAnsi="Times New Roman" w:cs="Times New Roman"/>
          <w:b/>
          <w:color w:val="auto"/>
          <w:sz w:val="24"/>
          <w:szCs w:val="24"/>
        </w:rPr>
        <w:lastRenderedPageBreak/>
        <w:t>Conclusion</w:t>
      </w:r>
      <w:bookmarkEnd w:id="16"/>
    </w:p>
    <w:p w:rsidR="00EE2CC5" w:rsidRPr="008766A2" w:rsidRDefault="00EE2CC5" w:rsidP="00EE2CC5">
      <w:pPr>
        <w:spacing w:line="360" w:lineRule="auto"/>
        <w:jc w:val="both"/>
        <w:rPr>
          <w:rFonts w:ascii="Times New Roman" w:hAnsi="Times New Roman" w:cs="Times New Roman"/>
          <w:sz w:val="24"/>
          <w:szCs w:val="24"/>
        </w:rPr>
      </w:pPr>
      <w:r w:rsidRPr="008766A2">
        <w:rPr>
          <w:rFonts w:ascii="Times New Roman" w:hAnsi="Times New Roman" w:cs="Times New Roman"/>
          <w:sz w:val="24"/>
          <w:szCs w:val="24"/>
        </w:rPr>
        <w:t xml:space="preserve">It became one of the most critical legal cases in Australia since the recognition of Indigenous peoples' rights to land. The case paved the way for legal and social change for the betterment of Australia's Indigenous people by rejecting the terra nullius doctrine and introducing the idea of a native title. However, the current Native Title regulatory system is not without prospects: Procedural hurdles, evidentiary standards, and the destructive prospect of 'extinguishment.' It shows that there is a steady need for further reform to make it possible for Indigenous people to exercise, safeguard, and </w:t>
      </w:r>
      <w:proofErr w:type="spellStart"/>
      <w:r w:rsidRPr="008766A2">
        <w:rPr>
          <w:rFonts w:ascii="Times New Roman" w:hAnsi="Times New Roman" w:cs="Times New Roman"/>
          <w:sz w:val="24"/>
          <w:szCs w:val="24"/>
        </w:rPr>
        <w:t>realise</w:t>
      </w:r>
      <w:proofErr w:type="spellEnd"/>
      <w:r w:rsidRPr="008766A2">
        <w:rPr>
          <w:rFonts w:ascii="Times New Roman" w:hAnsi="Times New Roman" w:cs="Times New Roman"/>
          <w:sz w:val="24"/>
          <w:szCs w:val="24"/>
        </w:rPr>
        <w:t xml:space="preserve"> their native title rights.</w:t>
      </w:r>
    </w:p>
    <w:p w:rsidR="00EE2CC5" w:rsidRPr="008766A2" w:rsidRDefault="00EE2CC5" w:rsidP="00EE2CC5">
      <w:pPr>
        <w:spacing w:line="360" w:lineRule="auto"/>
        <w:jc w:val="both"/>
        <w:rPr>
          <w:rFonts w:ascii="Times New Roman" w:hAnsi="Times New Roman" w:cs="Times New Roman"/>
          <w:sz w:val="24"/>
          <w:szCs w:val="24"/>
        </w:rPr>
      </w:pPr>
      <w:r w:rsidRPr="008766A2">
        <w:rPr>
          <w:rFonts w:ascii="Times New Roman" w:hAnsi="Times New Roman" w:cs="Times New Roman"/>
          <w:sz w:val="24"/>
          <w:szCs w:val="24"/>
        </w:rPr>
        <w:t xml:space="preserve">As for the prospects, it can be stated that Native Title can develop within legal and policy framework amendments, overcoming the listed drawbacks. Changes that likely improve the existing structure are those that </w:t>
      </w:r>
      <w:proofErr w:type="spellStart"/>
      <w:r w:rsidRPr="008766A2">
        <w:rPr>
          <w:rFonts w:ascii="Times New Roman" w:hAnsi="Times New Roman" w:cs="Times New Roman"/>
          <w:sz w:val="24"/>
          <w:szCs w:val="24"/>
        </w:rPr>
        <w:t>minimise</w:t>
      </w:r>
      <w:proofErr w:type="spellEnd"/>
      <w:r w:rsidRPr="008766A2">
        <w:rPr>
          <w:rFonts w:ascii="Times New Roman" w:hAnsi="Times New Roman" w:cs="Times New Roman"/>
          <w:sz w:val="24"/>
          <w:szCs w:val="24"/>
        </w:rPr>
        <w:t xml:space="preserve"> the obstacles for filing claims, improve the rights of Native Title holders and increase the support base of Indigenous self-governance. Adopting and incorporating foreign legal standards and trends and rising technologies can still widen and improve the understanding and the protection of Indigenous peoples' right to own and control their ancestral lands in the future. The principles of the Mabo (No 2) case do not end with the legal foundation; they also act as a marker of Australia's path towards recognition and compensation. The widespread and persistent effects of the West Australian pattern upon various facets of law, society, and politics indicate that further progress toward a better future for all Australians should be erected on the studied pattern's foundations.</w:t>
      </w:r>
    </w:p>
    <w:p w:rsidR="00EE2CC5" w:rsidRPr="008766A2" w:rsidRDefault="00EE2CC5" w:rsidP="00EE2CC5">
      <w:pPr>
        <w:spacing w:line="360" w:lineRule="auto"/>
        <w:jc w:val="both"/>
        <w:rPr>
          <w:rFonts w:ascii="Times New Roman" w:hAnsi="Times New Roman" w:cs="Times New Roman"/>
          <w:sz w:val="24"/>
          <w:szCs w:val="24"/>
        </w:rPr>
      </w:pPr>
    </w:p>
    <w:p w:rsidR="00EE2CC5" w:rsidRPr="0017112B" w:rsidRDefault="00EE2CC5" w:rsidP="0017112B">
      <w:pPr>
        <w:spacing w:line="360" w:lineRule="auto"/>
        <w:jc w:val="both"/>
        <w:rPr>
          <w:rFonts w:ascii="Times New Roman" w:hAnsi="Times New Roman" w:cs="Times New Roman"/>
          <w:sz w:val="24"/>
          <w:szCs w:val="24"/>
        </w:rPr>
      </w:pPr>
    </w:p>
    <w:p w:rsidR="0017112B" w:rsidRDefault="0017112B">
      <w:pPr>
        <w:rPr>
          <w:rFonts w:ascii="Times New Roman" w:hAnsi="Times New Roman" w:cs="Times New Roman"/>
          <w:sz w:val="24"/>
          <w:szCs w:val="24"/>
        </w:rPr>
      </w:pPr>
      <w:r>
        <w:rPr>
          <w:rFonts w:ascii="Times New Roman" w:hAnsi="Times New Roman" w:cs="Times New Roman"/>
          <w:sz w:val="24"/>
          <w:szCs w:val="24"/>
        </w:rPr>
        <w:br w:type="page"/>
      </w:r>
    </w:p>
    <w:p w:rsidR="00F73F14" w:rsidRPr="0017112B" w:rsidRDefault="0017112B" w:rsidP="0017112B">
      <w:pPr>
        <w:pStyle w:val="Heading1"/>
        <w:spacing w:line="360" w:lineRule="auto"/>
        <w:jc w:val="center"/>
        <w:rPr>
          <w:rFonts w:ascii="Times New Roman" w:hAnsi="Times New Roman" w:cs="Times New Roman"/>
          <w:b/>
          <w:color w:val="auto"/>
          <w:sz w:val="24"/>
        </w:rPr>
      </w:pPr>
      <w:bookmarkStart w:id="17" w:name="_Toc183687848"/>
      <w:r w:rsidRPr="0017112B">
        <w:rPr>
          <w:rFonts w:ascii="Times New Roman" w:hAnsi="Times New Roman" w:cs="Times New Roman"/>
          <w:b/>
          <w:color w:val="auto"/>
          <w:sz w:val="24"/>
        </w:rPr>
        <w:lastRenderedPageBreak/>
        <w:t>References</w:t>
      </w:r>
      <w:bookmarkEnd w:id="17"/>
    </w:p>
    <w:p w:rsidR="0017112B" w:rsidRDefault="0017112B" w:rsidP="0017112B">
      <w:pPr>
        <w:spacing w:line="360" w:lineRule="auto"/>
        <w:jc w:val="both"/>
        <w:rPr>
          <w:rFonts w:ascii="Times New Roman" w:hAnsi="Times New Roman" w:cs="Times New Roman"/>
          <w:sz w:val="24"/>
          <w:szCs w:val="24"/>
        </w:rPr>
      </w:pPr>
    </w:p>
    <w:p w:rsidR="00DF158E" w:rsidRPr="00DF158E" w:rsidRDefault="00DF158E" w:rsidP="00DF158E">
      <w:pPr>
        <w:spacing w:line="360" w:lineRule="auto"/>
        <w:ind w:left="720" w:hanging="720"/>
        <w:jc w:val="both"/>
        <w:rPr>
          <w:rFonts w:ascii="Times New Roman" w:hAnsi="Times New Roman" w:cs="Times New Roman"/>
          <w:sz w:val="24"/>
          <w:szCs w:val="24"/>
        </w:rPr>
      </w:pPr>
      <w:r w:rsidRPr="00DF158E">
        <w:rPr>
          <w:rFonts w:ascii="Times New Roman" w:hAnsi="Times New Roman" w:cs="Times New Roman"/>
          <w:sz w:val="24"/>
          <w:szCs w:val="24"/>
        </w:rPr>
        <w:t xml:space="preserve">and, A. (2023). The Mabo Case. Retrieved November 27, 2024, from AIATSIS corporate website </w:t>
      </w:r>
      <w:proofErr w:type="spellStart"/>
      <w:r w:rsidRPr="00DF158E">
        <w:rPr>
          <w:rFonts w:ascii="Times New Roman" w:hAnsi="Times New Roman" w:cs="Times New Roman"/>
          <w:sz w:val="24"/>
          <w:szCs w:val="24"/>
        </w:rPr>
        <w:t>website</w:t>
      </w:r>
      <w:proofErr w:type="spellEnd"/>
      <w:r w:rsidRPr="00DF158E">
        <w:rPr>
          <w:rFonts w:ascii="Times New Roman" w:hAnsi="Times New Roman" w:cs="Times New Roman"/>
          <w:sz w:val="24"/>
          <w:szCs w:val="24"/>
        </w:rPr>
        <w:t xml:space="preserve">: </w:t>
      </w:r>
      <w:hyperlink r:id="rId6" w:history="1">
        <w:r w:rsidRPr="00DF158E">
          <w:rPr>
            <w:rStyle w:val="Hyperlink"/>
            <w:rFonts w:ascii="Times New Roman" w:hAnsi="Times New Roman" w:cs="Times New Roman"/>
            <w:sz w:val="24"/>
            <w:szCs w:val="24"/>
          </w:rPr>
          <w:t>https://aiatsis.gov.au/explore/mabo-case</w:t>
        </w:r>
      </w:hyperlink>
    </w:p>
    <w:p w:rsidR="00DF158E" w:rsidRPr="00DF158E" w:rsidRDefault="00DF158E" w:rsidP="00DF158E">
      <w:pPr>
        <w:spacing w:line="360" w:lineRule="auto"/>
        <w:ind w:left="720" w:hanging="720"/>
        <w:jc w:val="both"/>
        <w:rPr>
          <w:rFonts w:ascii="Times New Roman" w:hAnsi="Times New Roman" w:cs="Times New Roman"/>
          <w:sz w:val="24"/>
          <w:szCs w:val="24"/>
          <w:shd w:val="clear" w:color="auto" w:fill="FFFFFF"/>
        </w:rPr>
      </w:pPr>
      <w:r w:rsidRPr="00DF158E">
        <w:rPr>
          <w:rFonts w:ascii="Times New Roman" w:hAnsi="Times New Roman" w:cs="Times New Roman"/>
          <w:sz w:val="24"/>
          <w:szCs w:val="24"/>
          <w:shd w:val="clear" w:color="auto" w:fill="FFFFFF"/>
        </w:rPr>
        <w:t xml:space="preserve">Bottomley, S., &amp; </w:t>
      </w:r>
      <w:proofErr w:type="spellStart"/>
      <w:r w:rsidRPr="00DF158E">
        <w:rPr>
          <w:rFonts w:ascii="Times New Roman" w:hAnsi="Times New Roman" w:cs="Times New Roman"/>
          <w:sz w:val="24"/>
          <w:szCs w:val="24"/>
          <w:shd w:val="clear" w:color="auto" w:fill="FFFFFF"/>
        </w:rPr>
        <w:t>Bronitt</w:t>
      </w:r>
      <w:proofErr w:type="spellEnd"/>
      <w:r w:rsidRPr="00DF158E">
        <w:rPr>
          <w:rFonts w:ascii="Times New Roman" w:hAnsi="Times New Roman" w:cs="Times New Roman"/>
          <w:sz w:val="24"/>
          <w:szCs w:val="24"/>
          <w:shd w:val="clear" w:color="auto" w:fill="FFFFFF"/>
        </w:rPr>
        <w:t>, S. H. (2023). First Nations People, Law and Injustice. </w:t>
      </w:r>
      <w:r w:rsidRPr="00DF158E">
        <w:rPr>
          <w:rFonts w:ascii="Times New Roman" w:hAnsi="Times New Roman" w:cs="Times New Roman"/>
          <w:i/>
          <w:iCs/>
          <w:sz w:val="24"/>
          <w:szCs w:val="24"/>
          <w:shd w:val="clear" w:color="auto" w:fill="FFFFFF"/>
        </w:rPr>
        <w:t xml:space="preserve">Stephen Bottomley and Simon </w:t>
      </w:r>
      <w:proofErr w:type="spellStart"/>
      <w:r w:rsidRPr="00DF158E">
        <w:rPr>
          <w:rFonts w:ascii="Times New Roman" w:hAnsi="Times New Roman" w:cs="Times New Roman"/>
          <w:i/>
          <w:iCs/>
          <w:sz w:val="24"/>
          <w:szCs w:val="24"/>
          <w:shd w:val="clear" w:color="auto" w:fill="FFFFFF"/>
        </w:rPr>
        <w:t>Bronitt</w:t>
      </w:r>
      <w:proofErr w:type="spellEnd"/>
      <w:r w:rsidRPr="00DF158E">
        <w:rPr>
          <w:rFonts w:ascii="Times New Roman" w:hAnsi="Times New Roman" w:cs="Times New Roman"/>
          <w:i/>
          <w:iCs/>
          <w:sz w:val="24"/>
          <w:szCs w:val="24"/>
          <w:shd w:val="clear" w:color="auto" w:fill="FFFFFF"/>
        </w:rPr>
        <w:t xml:space="preserve">, Law in Context (Federation Press, 5th ed, 2023) </w:t>
      </w:r>
      <w:proofErr w:type="spellStart"/>
      <w:r w:rsidRPr="00DF158E">
        <w:rPr>
          <w:rFonts w:ascii="Times New Roman" w:hAnsi="Times New Roman" w:cs="Times New Roman"/>
          <w:i/>
          <w:iCs/>
          <w:sz w:val="24"/>
          <w:szCs w:val="24"/>
          <w:shd w:val="clear" w:color="auto" w:fill="FFFFFF"/>
        </w:rPr>
        <w:t>ch</w:t>
      </w:r>
      <w:proofErr w:type="spellEnd"/>
      <w:r w:rsidRPr="00DF158E">
        <w:rPr>
          <w:rFonts w:ascii="Times New Roman" w:hAnsi="Times New Roman" w:cs="Times New Roman"/>
          <w:sz w:val="24"/>
          <w:szCs w:val="24"/>
          <w:shd w:val="clear" w:color="auto" w:fill="FFFFFF"/>
        </w:rPr>
        <w:t>, </w:t>
      </w:r>
      <w:r w:rsidRPr="00DF158E">
        <w:rPr>
          <w:rFonts w:ascii="Times New Roman" w:hAnsi="Times New Roman" w:cs="Times New Roman"/>
          <w:i/>
          <w:iCs/>
          <w:sz w:val="24"/>
          <w:szCs w:val="24"/>
          <w:shd w:val="clear" w:color="auto" w:fill="FFFFFF"/>
        </w:rPr>
        <w:t>3</w:t>
      </w:r>
      <w:r w:rsidRPr="00DF158E">
        <w:rPr>
          <w:rFonts w:ascii="Times New Roman" w:hAnsi="Times New Roman" w:cs="Times New Roman"/>
          <w:sz w:val="24"/>
          <w:szCs w:val="24"/>
          <w:shd w:val="clear" w:color="auto" w:fill="FFFFFF"/>
        </w:rPr>
        <w:t>.</w:t>
      </w:r>
    </w:p>
    <w:p w:rsidR="00DF158E" w:rsidRPr="00DF158E" w:rsidRDefault="00DF158E" w:rsidP="00DF158E">
      <w:pPr>
        <w:spacing w:line="360" w:lineRule="auto"/>
        <w:ind w:left="720" w:hanging="720"/>
        <w:jc w:val="both"/>
        <w:rPr>
          <w:rFonts w:ascii="Times New Roman" w:hAnsi="Times New Roman" w:cs="Times New Roman"/>
          <w:sz w:val="24"/>
          <w:szCs w:val="24"/>
        </w:rPr>
      </w:pPr>
      <w:proofErr w:type="spellStart"/>
      <w:r w:rsidRPr="00DF158E">
        <w:rPr>
          <w:rFonts w:ascii="Times New Roman" w:hAnsi="Times New Roman" w:cs="Times New Roman"/>
          <w:sz w:val="24"/>
          <w:szCs w:val="24"/>
          <w:shd w:val="clear" w:color="auto" w:fill="FFFFFF"/>
        </w:rPr>
        <w:t>Chandrashekeran</w:t>
      </w:r>
      <w:proofErr w:type="spellEnd"/>
      <w:r w:rsidRPr="00DF158E">
        <w:rPr>
          <w:rFonts w:ascii="Times New Roman" w:hAnsi="Times New Roman" w:cs="Times New Roman"/>
          <w:sz w:val="24"/>
          <w:szCs w:val="24"/>
          <w:shd w:val="clear" w:color="auto" w:fill="FFFFFF"/>
        </w:rPr>
        <w:t>, S. (2021). Rent and reparation: how the law shapes Indigenous opportunities from large renewable energy projects. </w:t>
      </w:r>
      <w:r w:rsidRPr="00DF158E">
        <w:rPr>
          <w:rFonts w:ascii="Times New Roman" w:hAnsi="Times New Roman" w:cs="Times New Roman"/>
          <w:i/>
          <w:iCs/>
          <w:sz w:val="24"/>
          <w:szCs w:val="24"/>
          <w:shd w:val="clear" w:color="auto" w:fill="FFFFFF"/>
        </w:rPr>
        <w:t>Local Environment</w:t>
      </w:r>
      <w:r w:rsidRPr="00DF158E">
        <w:rPr>
          <w:rFonts w:ascii="Times New Roman" w:hAnsi="Times New Roman" w:cs="Times New Roman"/>
          <w:sz w:val="24"/>
          <w:szCs w:val="24"/>
          <w:shd w:val="clear" w:color="auto" w:fill="FFFFFF"/>
        </w:rPr>
        <w:t>, </w:t>
      </w:r>
      <w:r w:rsidRPr="00DF158E">
        <w:rPr>
          <w:rFonts w:ascii="Times New Roman" w:hAnsi="Times New Roman" w:cs="Times New Roman"/>
          <w:i/>
          <w:iCs/>
          <w:sz w:val="24"/>
          <w:szCs w:val="24"/>
          <w:shd w:val="clear" w:color="auto" w:fill="FFFFFF"/>
        </w:rPr>
        <w:t>26</w:t>
      </w:r>
      <w:r w:rsidRPr="00DF158E">
        <w:rPr>
          <w:rFonts w:ascii="Times New Roman" w:hAnsi="Times New Roman" w:cs="Times New Roman"/>
          <w:sz w:val="24"/>
          <w:szCs w:val="24"/>
          <w:shd w:val="clear" w:color="auto" w:fill="FFFFFF"/>
        </w:rPr>
        <w:t>(3), 379-396.</w:t>
      </w:r>
    </w:p>
    <w:p w:rsidR="00DF158E" w:rsidRPr="00DF158E" w:rsidRDefault="00DF158E" w:rsidP="00DF158E">
      <w:pPr>
        <w:spacing w:line="360" w:lineRule="auto"/>
        <w:ind w:left="720" w:hanging="720"/>
        <w:jc w:val="both"/>
        <w:rPr>
          <w:rFonts w:ascii="Times New Roman" w:hAnsi="Times New Roman" w:cs="Times New Roman"/>
          <w:sz w:val="24"/>
          <w:szCs w:val="24"/>
        </w:rPr>
      </w:pPr>
      <w:proofErr w:type="spellStart"/>
      <w:r w:rsidRPr="00DF158E">
        <w:rPr>
          <w:rFonts w:ascii="Times New Roman" w:hAnsi="Times New Roman" w:cs="Times New Roman"/>
          <w:sz w:val="24"/>
          <w:szCs w:val="24"/>
          <w:shd w:val="clear" w:color="auto" w:fill="FFFFFF"/>
        </w:rPr>
        <w:t>Chipofya</w:t>
      </w:r>
      <w:proofErr w:type="spellEnd"/>
      <w:r w:rsidRPr="00DF158E">
        <w:rPr>
          <w:rFonts w:ascii="Times New Roman" w:hAnsi="Times New Roman" w:cs="Times New Roman"/>
          <w:sz w:val="24"/>
          <w:szCs w:val="24"/>
          <w:shd w:val="clear" w:color="auto" w:fill="FFFFFF"/>
        </w:rPr>
        <w:t xml:space="preserve">, M. C., Jan, S., &amp; </w:t>
      </w:r>
      <w:proofErr w:type="spellStart"/>
      <w:r w:rsidRPr="00DF158E">
        <w:rPr>
          <w:rFonts w:ascii="Times New Roman" w:hAnsi="Times New Roman" w:cs="Times New Roman"/>
          <w:sz w:val="24"/>
          <w:szCs w:val="24"/>
          <w:shd w:val="clear" w:color="auto" w:fill="FFFFFF"/>
        </w:rPr>
        <w:t>Schwering</w:t>
      </w:r>
      <w:proofErr w:type="spellEnd"/>
      <w:r w:rsidRPr="00DF158E">
        <w:rPr>
          <w:rFonts w:ascii="Times New Roman" w:hAnsi="Times New Roman" w:cs="Times New Roman"/>
          <w:sz w:val="24"/>
          <w:szCs w:val="24"/>
          <w:shd w:val="clear" w:color="auto" w:fill="FFFFFF"/>
        </w:rPr>
        <w:t xml:space="preserve">, A. (2021). </w:t>
      </w:r>
      <w:proofErr w:type="spellStart"/>
      <w:r w:rsidRPr="00DF158E">
        <w:rPr>
          <w:rFonts w:ascii="Times New Roman" w:hAnsi="Times New Roman" w:cs="Times New Roman"/>
          <w:sz w:val="24"/>
          <w:szCs w:val="24"/>
          <w:shd w:val="clear" w:color="auto" w:fill="FFFFFF"/>
        </w:rPr>
        <w:t>SmartSkeMa</w:t>
      </w:r>
      <w:proofErr w:type="spellEnd"/>
      <w:r w:rsidRPr="00DF158E">
        <w:rPr>
          <w:rFonts w:ascii="Times New Roman" w:hAnsi="Times New Roman" w:cs="Times New Roman"/>
          <w:sz w:val="24"/>
          <w:szCs w:val="24"/>
          <w:shd w:val="clear" w:color="auto" w:fill="FFFFFF"/>
        </w:rPr>
        <w:t>: Scalable documentation for community and customary land tenure. Land, 10(7), 662.</w:t>
      </w:r>
    </w:p>
    <w:p w:rsidR="00DF158E" w:rsidRPr="00DF158E" w:rsidRDefault="00DF158E" w:rsidP="00DF158E">
      <w:pPr>
        <w:spacing w:line="360" w:lineRule="auto"/>
        <w:ind w:left="720" w:hanging="720"/>
        <w:jc w:val="both"/>
        <w:rPr>
          <w:rFonts w:ascii="Times New Roman" w:hAnsi="Times New Roman" w:cs="Times New Roman"/>
          <w:sz w:val="24"/>
          <w:szCs w:val="24"/>
        </w:rPr>
      </w:pPr>
      <w:proofErr w:type="spellStart"/>
      <w:r w:rsidRPr="00DF158E">
        <w:rPr>
          <w:rFonts w:ascii="Times New Roman" w:hAnsi="Times New Roman" w:cs="Times New Roman"/>
          <w:sz w:val="24"/>
          <w:szCs w:val="24"/>
          <w:shd w:val="clear" w:color="auto" w:fill="FFFFFF"/>
        </w:rPr>
        <w:t>Dravid</w:t>
      </w:r>
      <w:proofErr w:type="spellEnd"/>
      <w:r w:rsidRPr="00DF158E">
        <w:rPr>
          <w:rFonts w:ascii="Times New Roman" w:hAnsi="Times New Roman" w:cs="Times New Roman"/>
          <w:sz w:val="24"/>
          <w:szCs w:val="24"/>
          <w:shd w:val="clear" w:color="auto" w:fill="FFFFFF"/>
        </w:rPr>
        <w:t>, A. (2023). Indigenous Rights and the High Court of Australia. </w:t>
      </w:r>
      <w:proofErr w:type="spellStart"/>
      <w:r w:rsidRPr="00DF158E">
        <w:rPr>
          <w:rFonts w:ascii="Times New Roman" w:hAnsi="Times New Roman" w:cs="Times New Roman"/>
          <w:i/>
          <w:iCs/>
          <w:sz w:val="24"/>
          <w:szCs w:val="24"/>
          <w:shd w:val="clear" w:color="auto" w:fill="FFFFFF"/>
        </w:rPr>
        <w:t>ResPublica</w:t>
      </w:r>
      <w:proofErr w:type="spellEnd"/>
      <w:r w:rsidRPr="00DF158E">
        <w:rPr>
          <w:rFonts w:ascii="Times New Roman" w:hAnsi="Times New Roman" w:cs="Times New Roman"/>
          <w:i/>
          <w:iCs/>
          <w:sz w:val="24"/>
          <w:szCs w:val="24"/>
          <w:shd w:val="clear" w:color="auto" w:fill="FFFFFF"/>
        </w:rPr>
        <w:t>: Undergraduate Journal of Political Science</w:t>
      </w:r>
      <w:r w:rsidRPr="00DF158E">
        <w:rPr>
          <w:rFonts w:ascii="Times New Roman" w:hAnsi="Times New Roman" w:cs="Times New Roman"/>
          <w:sz w:val="24"/>
          <w:szCs w:val="24"/>
          <w:shd w:val="clear" w:color="auto" w:fill="FFFFFF"/>
        </w:rPr>
        <w:t>, </w:t>
      </w:r>
      <w:r w:rsidRPr="00DF158E">
        <w:rPr>
          <w:rFonts w:ascii="Times New Roman" w:hAnsi="Times New Roman" w:cs="Times New Roman"/>
          <w:i/>
          <w:iCs/>
          <w:sz w:val="24"/>
          <w:szCs w:val="24"/>
          <w:shd w:val="clear" w:color="auto" w:fill="FFFFFF"/>
        </w:rPr>
        <w:t>6</w:t>
      </w:r>
      <w:r w:rsidRPr="00DF158E">
        <w:rPr>
          <w:rFonts w:ascii="Times New Roman" w:hAnsi="Times New Roman" w:cs="Times New Roman"/>
          <w:sz w:val="24"/>
          <w:szCs w:val="24"/>
          <w:shd w:val="clear" w:color="auto" w:fill="FFFFFF"/>
        </w:rPr>
        <w:t>.</w:t>
      </w:r>
    </w:p>
    <w:p w:rsidR="00DF158E" w:rsidRPr="00DF158E" w:rsidRDefault="00DF158E" w:rsidP="00DF158E">
      <w:pPr>
        <w:spacing w:line="360" w:lineRule="auto"/>
        <w:ind w:left="720" w:hanging="720"/>
        <w:jc w:val="both"/>
        <w:rPr>
          <w:rFonts w:ascii="Times New Roman" w:hAnsi="Times New Roman" w:cs="Times New Roman"/>
          <w:sz w:val="24"/>
          <w:szCs w:val="24"/>
        </w:rPr>
      </w:pPr>
      <w:r w:rsidRPr="00DF158E">
        <w:rPr>
          <w:rFonts w:ascii="Times New Roman" w:hAnsi="Times New Roman" w:cs="Times New Roman"/>
          <w:sz w:val="24"/>
          <w:szCs w:val="24"/>
          <w:shd w:val="clear" w:color="auto" w:fill="FFFFFF"/>
        </w:rPr>
        <w:t xml:space="preserve">Grey, S., &amp; </w:t>
      </w:r>
      <w:proofErr w:type="spellStart"/>
      <w:r w:rsidRPr="00DF158E">
        <w:rPr>
          <w:rFonts w:ascii="Times New Roman" w:hAnsi="Times New Roman" w:cs="Times New Roman"/>
          <w:sz w:val="24"/>
          <w:szCs w:val="24"/>
          <w:shd w:val="clear" w:color="auto" w:fill="FFFFFF"/>
        </w:rPr>
        <w:t>Kuokkanen</w:t>
      </w:r>
      <w:proofErr w:type="spellEnd"/>
      <w:r w:rsidRPr="00DF158E">
        <w:rPr>
          <w:rFonts w:ascii="Times New Roman" w:hAnsi="Times New Roman" w:cs="Times New Roman"/>
          <w:sz w:val="24"/>
          <w:szCs w:val="24"/>
          <w:shd w:val="clear" w:color="auto" w:fill="FFFFFF"/>
        </w:rPr>
        <w:t>, R. (2020). Indigenous governance of cultural heritage: searching for alternatives to co-management. International Journal of Heritage Studies, 26(10), 919-941.</w:t>
      </w:r>
    </w:p>
    <w:p w:rsidR="00DF158E" w:rsidRPr="00DF158E" w:rsidRDefault="00DF158E" w:rsidP="00DF158E">
      <w:pPr>
        <w:spacing w:line="360" w:lineRule="auto"/>
        <w:ind w:left="720" w:hanging="720"/>
        <w:jc w:val="both"/>
        <w:rPr>
          <w:rFonts w:ascii="Times New Roman" w:hAnsi="Times New Roman" w:cs="Times New Roman"/>
          <w:sz w:val="24"/>
          <w:szCs w:val="24"/>
          <w:shd w:val="clear" w:color="auto" w:fill="FFFFFF"/>
        </w:rPr>
      </w:pPr>
      <w:r w:rsidRPr="00DF158E">
        <w:rPr>
          <w:rFonts w:ascii="Times New Roman" w:hAnsi="Times New Roman" w:cs="Times New Roman"/>
          <w:sz w:val="24"/>
          <w:szCs w:val="24"/>
          <w:shd w:val="clear" w:color="auto" w:fill="FFFFFF"/>
        </w:rPr>
        <w:t>Hobbs, H., 2023. The new right and Aboriginal rights in the High Court of Australia. </w:t>
      </w:r>
      <w:r w:rsidRPr="00DF158E">
        <w:rPr>
          <w:rFonts w:ascii="Times New Roman" w:hAnsi="Times New Roman" w:cs="Times New Roman"/>
          <w:i/>
          <w:iCs/>
          <w:sz w:val="24"/>
          <w:szCs w:val="24"/>
          <w:shd w:val="clear" w:color="auto" w:fill="FFFFFF"/>
        </w:rPr>
        <w:t>Federal Law Review</w:t>
      </w:r>
      <w:r w:rsidRPr="00DF158E">
        <w:rPr>
          <w:rFonts w:ascii="Times New Roman" w:hAnsi="Times New Roman" w:cs="Times New Roman"/>
          <w:sz w:val="24"/>
          <w:szCs w:val="24"/>
          <w:shd w:val="clear" w:color="auto" w:fill="FFFFFF"/>
        </w:rPr>
        <w:t>, </w:t>
      </w:r>
      <w:r w:rsidRPr="00DF158E">
        <w:rPr>
          <w:rFonts w:ascii="Times New Roman" w:hAnsi="Times New Roman" w:cs="Times New Roman"/>
          <w:i/>
          <w:iCs/>
          <w:sz w:val="24"/>
          <w:szCs w:val="24"/>
          <w:shd w:val="clear" w:color="auto" w:fill="FFFFFF"/>
        </w:rPr>
        <w:t>51</w:t>
      </w:r>
      <w:r w:rsidRPr="00DF158E">
        <w:rPr>
          <w:rFonts w:ascii="Times New Roman" w:hAnsi="Times New Roman" w:cs="Times New Roman"/>
          <w:sz w:val="24"/>
          <w:szCs w:val="24"/>
          <w:shd w:val="clear" w:color="auto" w:fill="FFFFFF"/>
        </w:rPr>
        <w:t>(1), pp.129-154.</w:t>
      </w:r>
    </w:p>
    <w:p w:rsidR="00DF158E" w:rsidRPr="00DF158E" w:rsidRDefault="00DF158E" w:rsidP="00DF158E">
      <w:pPr>
        <w:spacing w:line="360" w:lineRule="auto"/>
        <w:ind w:left="720" w:hanging="720"/>
        <w:jc w:val="both"/>
        <w:rPr>
          <w:rFonts w:ascii="Times New Roman" w:hAnsi="Times New Roman" w:cs="Times New Roman"/>
          <w:sz w:val="24"/>
          <w:szCs w:val="24"/>
          <w:shd w:val="clear" w:color="auto" w:fill="FFFFFF"/>
        </w:rPr>
      </w:pPr>
      <w:proofErr w:type="spellStart"/>
      <w:r w:rsidRPr="00DF158E">
        <w:rPr>
          <w:rFonts w:ascii="Times New Roman" w:hAnsi="Times New Roman" w:cs="Times New Roman"/>
          <w:sz w:val="24"/>
          <w:szCs w:val="24"/>
          <w:shd w:val="clear" w:color="auto" w:fill="FFFFFF"/>
        </w:rPr>
        <w:t>Holtheuer</w:t>
      </w:r>
      <w:proofErr w:type="spellEnd"/>
      <w:r w:rsidRPr="00DF158E">
        <w:rPr>
          <w:rFonts w:ascii="Times New Roman" w:hAnsi="Times New Roman" w:cs="Times New Roman"/>
          <w:sz w:val="24"/>
          <w:szCs w:val="24"/>
          <w:shd w:val="clear" w:color="auto" w:fill="FFFFFF"/>
        </w:rPr>
        <w:t>, L. (2023). Biopiracy and Native Title: An Exploration of the Native Title Act 1993 (</w:t>
      </w:r>
      <w:proofErr w:type="spellStart"/>
      <w:r w:rsidRPr="00DF158E">
        <w:rPr>
          <w:rFonts w:ascii="Times New Roman" w:hAnsi="Times New Roman" w:cs="Times New Roman"/>
          <w:sz w:val="24"/>
          <w:szCs w:val="24"/>
          <w:shd w:val="clear" w:color="auto" w:fill="FFFFFF"/>
        </w:rPr>
        <w:t>Cth</w:t>
      </w:r>
      <w:proofErr w:type="spellEnd"/>
      <w:r w:rsidRPr="00DF158E">
        <w:rPr>
          <w:rFonts w:ascii="Times New Roman" w:hAnsi="Times New Roman" w:cs="Times New Roman"/>
          <w:sz w:val="24"/>
          <w:szCs w:val="24"/>
          <w:shd w:val="clear" w:color="auto" w:fill="FFFFFF"/>
        </w:rPr>
        <w:t>) and Indigenous Knowledge Protection (Doctoral dissertation).</w:t>
      </w:r>
    </w:p>
    <w:p w:rsidR="00DF158E" w:rsidRPr="00DF158E" w:rsidRDefault="00DF158E" w:rsidP="00DF158E">
      <w:pPr>
        <w:spacing w:line="360" w:lineRule="auto"/>
        <w:ind w:left="720" w:hanging="720"/>
        <w:jc w:val="both"/>
        <w:rPr>
          <w:rFonts w:ascii="Times New Roman" w:hAnsi="Times New Roman" w:cs="Times New Roman"/>
          <w:sz w:val="24"/>
          <w:szCs w:val="24"/>
        </w:rPr>
      </w:pPr>
      <w:r w:rsidRPr="00DF158E">
        <w:rPr>
          <w:rFonts w:ascii="Times New Roman" w:hAnsi="Times New Roman" w:cs="Times New Roman"/>
          <w:sz w:val="24"/>
          <w:szCs w:val="24"/>
          <w:shd w:val="clear" w:color="auto" w:fill="FFFFFF"/>
        </w:rPr>
        <w:t>Indigenous Rights and the High Court of Australia. </w:t>
      </w:r>
      <w:proofErr w:type="spellStart"/>
      <w:r w:rsidRPr="00DF158E">
        <w:rPr>
          <w:rFonts w:ascii="Times New Roman" w:hAnsi="Times New Roman" w:cs="Times New Roman"/>
          <w:i/>
          <w:iCs/>
          <w:sz w:val="24"/>
          <w:szCs w:val="24"/>
          <w:shd w:val="clear" w:color="auto" w:fill="FFFFFF"/>
        </w:rPr>
        <w:t>ResPublica</w:t>
      </w:r>
      <w:proofErr w:type="spellEnd"/>
      <w:r w:rsidRPr="00DF158E">
        <w:rPr>
          <w:rFonts w:ascii="Times New Roman" w:hAnsi="Times New Roman" w:cs="Times New Roman"/>
          <w:i/>
          <w:iCs/>
          <w:sz w:val="24"/>
          <w:szCs w:val="24"/>
          <w:shd w:val="clear" w:color="auto" w:fill="FFFFFF"/>
        </w:rPr>
        <w:t>: Undergraduate Journal of Political Science</w:t>
      </w:r>
      <w:r w:rsidRPr="00DF158E">
        <w:rPr>
          <w:rFonts w:ascii="Times New Roman" w:hAnsi="Times New Roman" w:cs="Times New Roman"/>
          <w:sz w:val="24"/>
          <w:szCs w:val="24"/>
          <w:shd w:val="clear" w:color="auto" w:fill="FFFFFF"/>
        </w:rPr>
        <w:t>, </w:t>
      </w:r>
      <w:r w:rsidRPr="00DF158E">
        <w:rPr>
          <w:rFonts w:ascii="Times New Roman" w:hAnsi="Times New Roman" w:cs="Times New Roman"/>
          <w:i/>
          <w:iCs/>
          <w:sz w:val="24"/>
          <w:szCs w:val="24"/>
          <w:shd w:val="clear" w:color="auto" w:fill="FFFFFF"/>
        </w:rPr>
        <w:t>6</w:t>
      </w:r>
      <w:r w:rsidRPr="00DF158E">
        <w:rPr>
          <w:rFonts w:ascii="Times New Roman" w:hAnsi="Times New Roman" w:cs="Times New Roman"/>
          <w:sz w:val="24"/>
          <w:szCs w:val="24"/>
          <w:shd w:val="clear" w:color="auto" w:fill="FFFFFF"/>
        </w:rPr>
        <w:t>.</w:t>
      </w:r>
    </w:p>
    <w:p w:rsidR="00DF158E" w:rsidRPr="00DF158E" w:rsidRDefault="00DF158E" w:rsidP="00DF158E">
      <w:pPr>
        <w:spacing w:line="360" w:lineRule="auto"/>
        <w:ind w:left="720" w:hanging="720"/>
        <w:jc w:val="both"/>
        <w:rPr>
          <w:rFonts w:ascii="Times New Roman" w:hAnsi="Times New Roman" w:cs="Times New Roman"/>
          <w:sz w:val="24"/>
          <w:szCs w:val="24"/>
        </w:rPr>
      </w:pPr>
      <w:r w:rsidRPr="00DF158E">
        <w:rPr>
          <w:rFonts w:ascii="Times New Roman" w:hAnsi="Times New Roman" w:cs="Times New Roman"/>
          <w:sz w:val="24"/>
          <w:szCs w:val="24"/>
          <w:shd w:val="clear" w:color="auto" w:fill="FFFFFF"/>
        </w:rPr>
        <w:t>Ingram, I. (2021). Indigenous Governance and Native Title in Australia. Developing governance and governing development: International case studies of Indigenous futures, 29.</w:t>
      </w:r>
    </w:p>
    <w:p w:rsidR="00DF158E" w:rsidRPr="00DF158E" w:rsidRDefault="00DF158E" w:rsidP="00DF158E">
      <w:pPr>
        <w:spacing w:line="360" w:lineRule="auto"/>
        <w:ind w:left="720" w:hanging="720"/>
        <w:jc w:val="both"/>
        <w:rPr>
          <w:rFonts w:ascii="Times New Roman" w:hAnsi="Times New Roman" w:cs="Times New Roman"/>
          <w:sz w:val="24"/>
          <w:szCs w:val="24"/>
        </w:rPr>
      </w:pPr>
      <w:proofErr w:type="spellStart"/>
      <w:r w:rsidRPr="00DF158E">
        <w:rPr>
          <w:rFonts w:ascii="Times New Roman" w:hAnsi="Times New Roman" w:cs="Times New Roman"/>
          <w:sz w:val="24"/>
          <w:szCs w:val="24"/>
        </w:rPr>
        <w:t>Jegede</w:t>
      </w:r>
      <w:proofErr w:type="spellEnd"/>
      <w:r w:rsidRPr="00DF158E">
        <w:rPr>
          <w:rFonts w:ascii="Times New Roman" w:hAnsi="Times New Roman" w:cs="Times New Roman"/>
          <w:sz w:val="24"/>
          <w:szCs w:val="24"/>
        </w:rPr>
        <w:t>, A. (2016). </w:t>
      </w:r>
      <w:r w:rsidRPr="00DF158E">
        <w:rPr>
          <w:rFonts w:ascii="Times New Roman" w:hAnsi="Times New Roman" w:cs="Times New Roman"/>
          <w:i/>
          <w:iCs/>
          <w:sz w:val="24"/>
          <w:szCs w:val="24"/>
        </w:rPr>
        <w:t>The climate change regulatory framework and indigenous peoples’ lands in Africa: Human rights implications</w:t>
      </w:r>
      <w:r w:rsidRPr="00DF158E">
        <w:rPr>
          <w:rFonts w:ascii="Times New Roman" w:hAnsi="Times New Roman" w:cs="Times New Roman"/>
          <w:sz w:val="24"/>
          <w:szCs w:val="24"/>
        </w:rPr>
        <w:t xml:space="preserve">. Retrieved from </w:t>
      </w:r>
      <w:hyperlink r:id="rId7" w:history="1">
        <w:r w:rsidRPr="00DF158E">
          <w:rPr>
            <w:rStyle w:val="Hyperlink"/>
            <w:rFonts w:ascii="Times New Roman" w:hAnsi="Times New Roman" w:cs="Times New Roman"/>
            <w:sz w:val="24"/>
            <w:szCs w:val="24"/>
          </w:rPr>
          <w:t>https://africaportal.org/wp-content/uploads/2023/05/2016_12.pdf</w:t>
        </w:r>
      </w:hyperlink>
    </w:p>
    <w:p w:rsidR="00DF158E" w:rsidRPr="00DF158E" w:rsidRDefault="00DF158E" w:rsidP="00DF158E">
      <w:pPr>
        <w:spacing w:line="360" w:lineRule="auto"/>
        <w:ind w:left="720" w:hanging="720"/>
        <w:jc w:val="both"/>
        <w:rPr>
          <w:rFonts w:ascii="Times New Roman" w:hAnsi="Times New Roman" w:cs="Times New Roman"/>
          <w:sz w:val="24"/>
          <w:szCs w:val="24"/>
        </w:rPr>
      </w:pPr>
      <w:r w:rsidRPr="00DF158E">
        <w:rPr>
          <w:rFonts w:ascii="Times New Roman" w:hAnsi="Times New Roman" w:cs="Times New Roman"/>
          <w:sz w:val="24"/>
          <w:szCs w:val="24"/>
          <w:shd w:val="clear" w:color="auto" w:fill="FFFFFF"/>
        </w:rPr>
        <w:t>Keon-Cohen, B., 2023. From Slavery to Sovereignty? Mabo, Native Title and the Uluru Statement from the Heart. </w:t>
      </w:r>
      <w:r w:rsidRPr="00DF158E">
        <w:rPr>
          <w:rFonts w:ascii="Times New Roman" w:hAnsi="Times New Roman" w:cs="Times New Roman"/>
          <w:i/>
          <w:iCs/>
          <w:sz w:val="24"/>
          <w:szCs w:val="24"/>
          <w:shd w:val="clear" w:color="auto" w:fill="FFFFFF"/>
        </w:rPr>
        <w:t>James Cook UL Rev.</w:t>
      </w:r>
      <w:r w:rsidRPr="00DF158E">
        <w:rPr>
          <w:rFonts w:ascii="Times New Roman" w:hAnsi="Times New Roman" w:cs="Times New Roman"/>
          <w:sz w:val="24"/>
          <w:szCs w:val="24"/>
          <w:shd w:val="clear" w:color="auto" w:fill="FFFFFF"/>
        </w:rPr>
        <w:t>, </w:t>
      </w:r>
      <w:r w:rsidRPr="00DF158E">
        <w:rPr>
          <w:rFonts w:ascii="Times New Roman" w:hAnsi="Times New Roman" w:cs="Times New Roman"/>
          <w:i/>
          <w:iCs/>
          <w:sz w:val="24"/>
          <w:szCs w:val="24"/>
          <w:shd w:val="clear" w:color="auto" w:fill="FFFFFF"/>
        </w:rPr>
        <w:t>29</w:t>
      </w:r>
      <w:r w:rsidRPr="00DF158E">
        <w:rPr>
          <w:rFonts w:ascii="Times New Roman" w:hAnsi="Times New Roman" w:cs="Times New Roman"/>
          <w:sz w:val="24"/>
          <w:szCs w:val="24"/>
          <w:shd w:val="clear" w:color="auto" w:fill="FFFFFF"/>
        </w:rPr>
        <w:t>, p.1.</w:t>
      </w:r>
    </w:p>
    <w:p w:rsidR="00DF158E" w:rsidRPr="00DF158E" w:rsidRDefault="00DF158E" w:rsidP="00DF158E">
      <w:pPr>
        <w:spacing w:line="360" w:lineRule="auto"/>
        <w:ind w:left="720" w:hanging="720"/>
        <w:jc w:val="both"/>
        <w:rPr>
          <w:rFonts w:ascii="Times New Roman" w:hAnsi="Times New Roman" w:cs="Times New Roman"/>
          <w:sz w:val="24"/>
          <w:szCs w:val="24"/>
        </w:rPr>
      </w:pPr>
      <w:r w:rsidRPr="00DF158E">
        <w:rPr>
          <w:rFonts w:ascii="Times New Roman" w:hAnsi="Times New Roman" w:cs="Times New Roman"/>
          <w:sz w:val="24"/>
          <w:szCs w:val="24"/>
          <w:shd w:val="clear" w:color="auto" w:fill="FFFFFF"/>
        </w:rPr>
        <w:lastRenderedPageBreak/>
        <w:t>Lillie, K. E. (2023). Returning Control to the People: The Native American Languages Act, Reclamation, and Native Language Teacher Certification. Buff. L. Rev., 71, 289.</w:t>
      </w:r>
    </w:p>
    <w:p w:rsidR="00DF158E" w:rsidRPr="00DF158E" w:rsidRDefault="00DF158E" w:rsidP="00DF158E">
      <w:pPr>
        <w:spacing w:line="360" w:lineRule="auto"/>
        <w:ind w:left="720" w:hanging="720"/>
        <w:jc w:val="both"/>
        <w:rPr>
          <w:rFonts w:ascii="Times New Roman" w:hAnsi="Times New Roman" w:cs="Times New Roman"/>
          <w:sz w:val="24"/>
          <w:szCs w:val="24"/>
        </w:rPr>
      </w:pPr>
      <w:r w:rsidRPr="00DF158E">
        <w:rPr>
          <w:rFonts w:ascii="Times New Roman" w:hAnsi="Times New Roman" w:cs="Times New Roman"/>
          <w:sz w:val="24"/>
          <w:szCs w:val="24"/>
          <w:shd w:val="clear" w:color="auto" w:fill="FFFFFF"/>
        </w:rPr>
        <w:t xml:space="preserve">McIvor, B. (2021). Standoff: Why reconciliation fails Indigenous people and how to fix it. </w:t>
      </w:r>
      <w:proofErr w:type="spellStart"/>
      <w:r w:rsidRPr="00DF158E">
        <w:rPr>
          <w:rFonts w:ascii="Times New Roman" w:hAnsi="Times New Roman" w:cs="Times New Roman"/>
          <w:sz w:val="24"/>
          <w:szCs w:val="24"/>
          <w:shd w:val="clear" w:color="auto" w:fill="FFFFFF"/>
        </w:rPr>
        <w:t>Harbour</w:t>
      </w:r>
      <w:proofErr w:type="spellEnd"/>
      <w:r w:rsidRPr="00DF158E">
        <w:rPr>
          <w:rFonts w:ascii="Times New Roman" w:hAnsi="Times New Roman" w:cs="Times New Roman"/>
          <w:sz w:val="24"/>
          <w:szCs w:val="24"/>
          <w:shd w:val="clear" w:color="auto" w:fill="FFFFFF"/>
        </w:rPr>
        <w:t xml:space="preserve"> Publishing.</w:t>
      </w:r>
    </w:p>
    <w:p w:rsidR="00DF158E" w:rsidRPr="00DF158E" w:rsidRDefault="00DF158E" w:rsidP="00DF158E">
      <w:pPr>
        <w:spacing w:line="360" w:lineRule="auto"/>
        <w:ind w:left="720" w:hanging="720"/>
        <w:jc w:val="both"/>
        <w:rPr>
          <w:rFonts w:ascii="Times New Roman" w:hAnsi="Times New Roman" w:cs="Times New Roman"/>
          <w:sz w:val="24"/>
          <w:szCs w:val="24"/>
        </w:rPr>
      </w:pPr>
      <w:r w:rsidRPr="00DF158E">
        <w:rPr>
          <w:rFonts w:ascii="Times New Roman" w:hAnsi="Times New Roman" w:cs="Times New Roman"/>
          <w:sz w:val="24"/>
          <w:szCs w:val="24"/>
        </w:rPr>
        <w:t xml:space="preserve">Meyers, G., &amp; </w:t>
      </w:r>
      <w:proofErr w:type="spellStart"/>
      <w:r w:rsidRPr="00DF158E">
        <w:rPr>
          <w:rFonts w:ascii="Times New Roman" w:hAnsi="Times New Roman" w:cs="Times New Roman"/>
          <w:sz w:val="24"/>
          <w:szCs w:val="24"/>
        </w:rPr>
        <w:t>Mugambwa</w:t>
      </w:r>
      <w:proofErr w:type="spellEnd"/>
      <w:r w:rsidRPr="00DF158E">
        <w:rPr>
          <w:rFonts w:ascii="Times New Roman" w:hAnsi="Times New Roman" w:cs="Times New Roman"/>
          <w:sz w:val="24"/>
          <w:szCs w:val="24"/>
        </w:rPr>
        <w:t xml:space="preserve">, J. (1993). The Mabo Decision: Australian Aboriginal Land Rights in Transition ARTICLE THE MABO DECISION: AUSTRALIAN ABORIGINAL LAND RIGHTS IN TRANSITION. Retrieved from </w:t>
      </w:r>
      <w:hyperlink r:id="rId8" w:history="1">
        <w:r w:rsidRPr="00DF158E">
          <w:rPr>
            <w:rStyle w:val="Hyperlink"/>
            <w:rFonts w:ascii="Times New Roman" w:hAnsi="Times New Roman" w:cs="Times New Roman"/>
            <w:sz w:val="24"/>
            <w:szCs w:val="24"/>
          </w:rPr>
          <w:t>https://nationalaglawcenter.org/wp-content/uploads/assets/bibarticles/meyersmugambwa_mabo.pdf</w:t>
        </w:r>
      </w:hyperlink>
    </w:p>
    <w:p w:rsidR="00DF158E" w:rsidRPr="00DF158E" w:rsidRDefault="00DF158E" w:rsidP="00DF158E">
      <w:pPr>
        <w:spacing w:line="360" w:lineRule="auto"/>
        <w:ind w:left="720" w:hanging="720"/>
        <w:jc w:val="both"/>
        <w:rPr>
          <w:rFonts w:ascii="Times New Roman" w:hAnsi="Times New Roman" w:cs="Times New Roman"/>
          <w:sz w:val="24"/>
          <w:szCs w:val="24"/>
        </w:rPr>
      </w:pPr>
      <w:r w:rsidRPr="00DF158E">
        <w:rPr>
          <w:rFonts w:ascii="Times New Roman" w:hAnsi="Times New Roman" w:cs="Times New Roman"/>
          <w:sz w:val="24"/>
          <w:szCs w:val="24"/>
          <w:shd w:val="clear" w:color="auto" w:fill="FFFFFF"/>
        </w:rPr>
        <w:t>Miller, B. G. (2024). Oral history on trial: Recognizing Aboriginal narratives in the courts. UBC Press.</w:t>
      </w:r>
    </w:p>
    <w:p w:rsidR="00DF158E" w:rsidRPr="00DF158E" w:rsidRDefault="00DF158E" w:rsidP="00DF158E">
      <w:pPr>
        <w:spacing w:line="360" w:lineRule="auto"/>
        <w:ind w:left="720" w:hanging="720"/>
        <w:jc w:val="both"/>
        <w:rPr>
          <w:rFonts w:ascii="Times New Roman" w:hAnsi="Times New Roman" w:cs="Times New Roman"/>
          <w:sz w:val="24"/>
          <w:szCs w:val="24"/>
        </w:rPr>
      </w:pPr>
      <w:r w:rsidRPr="00DF158E">
        <w:rPr>
          <w:rFonts w:ascii="Times New Roman" w:hAnsi="Times New Roman" w:cs="Times New Roman"/>
          <w:sz w:val="24"/>
          <w:szCs w:val="24"/>
          <w:shd w:val="clear" w:color="auto" w:fill="FFFFFF"/>
        </w:rPr>
        <w:t xml:space="preserve">Neumann Jr, R. K., Margolis, E., &amp; </w:t>
      </w:r>
      <w:proofErr w:type="spellStart"/>
      <w:r w:rsidRPr="00DF158E">
        <w:rPr>
          <w:rFonts w:ascii="Times New Roman" w:hAnsi="Times New Roman" w:cs="Times New Roman"/>
          <w:sz w:val="24"/>
          <w:szCs w:val="24"/>
          <w:shd w:val="clear" w:color="auto" w:fill="FFFFFF"/>
        </w:rPr>
        <w:t>Stanchi</w:t>
      </w:r>
      <w:proofErr w:type="spellEnd"/>
      <w:r w:rsidRPr="00DF158E">
        <w:rPr>
          <w:rFonts w:ascii="Times New Roman" w:hAnsi="Times New Roman" w:cs="Times New Roman"/>
          <w:sz w:val="24"/>
          <w:szCs w:val="24"/>
          <w:shd w:val="clear" w:color="auto" w:fill="FFFFFF"/>
        </w:rPr>
        <w:t>, K. M. (2021). Legal reasoning and legal writing. Aspen Publishing.</w:t>
      </w:r>
    </w:p>
    <w:p w:rsidR="00DF158E" w:rsidRPr="00DF158E" w:rsidRDefault="00DF158E" w:rsidP="00DF158E">
      <w:pPr>
        <w:spacing w:line="360" w:lineRule="auto"/>
        <w:ind w:left="720" w:hanging="720"/>
        <w:jc w:val="both"/>
        <w:rPr>
          <w:rFonts w:ascii="Times New Roman" w:hAnsi="Times New Roman" w:cs="Times New Roman"/>
          <w:sz w:val="24"/>
          <w:szCs w:val="24"/>
        </w:rPr>
      </w:pPr>
      <w:r w:rsidRPr="00DF158E">
        <w:rPr>
          <w:rFonts w:ascii="Times New Roman" w:hAnsi="Times New Roman" w:cs="Times New Roman"/>
          <w:sz w:val="24"/>
          <w:szCs w:val="24"/>
          <w:shd w:val="clear" w:color="auto" w:fill="FFFFFF"/>
        </w:rPr>
        <w:t>O'Sullivan, D. (2021). </w:t>
      </w:r>
      <w:r w:rsidRPr="00DF158E">
        <w:rPr>
          <w:rFonts w:ascii="Times New Roman" w:hAnsi="Times New Roman" w:cs="Times New Roman"/>
          <w:i/>
          <w:iCs/>
          <w:sz w:val="24"/>
          <w:szCs w:val="24"/>
          <w:shd w:val="clear" w:color="auto" w:fill="FFFFFF"/>
        </w:rPr>
        <w:t>Sharing the sovereign: Indigenous peoples, recognition, treaties and the state</w:t>
      </w:r>
      <w:r w:rsidRPr="00DF158E">
        <w:rPr>
          <w:rFonts w:ascii="Times New Roman" w:hAnsi="Times New Roman" w:cs="Times New Roman"/>
          <w:sz w:val="24"/>
          <w:szCs w:val="24"/>
          <w:shd w:val="clear" w:color="auto" w:fill="FFFFFF"/>
        </w:rPr>
        <w:t>. Singapore: Palgrave Macmillan.</w:t>
      </w:r>
    </w:p>
    <w:p w:rsidR="00DF158E" w:rsidRPr="00DF158E" w:rsidRDefault="00DF158E" w:rsidP="00DF158E">
      <w:pPr>
        <w:spacing w:line="360" w:lineRule="auto"/>
        <w:ind w:left="720" w:hanging="720"/>
        <w:jc w:val="both"/>
        <w:rPr>
          <w:rFonts w:ascii="Times New Roman" w:hAnsi="Times New Roman" w:cs="Times New Roman"/>
          <w:sz w:val="24"/>
          <w:szCs w:val="24"/>
          <w:shd w:val="clear" w:color="auto" w:fill="FFFFFF"/>
        </w:rPr>
      </w:pPr>
      <w:r w:rsidRPr="00DF158E">
        <w:rPr>
          <w:rFonts w:ascii="Times New Roman" w:hAnsi="Times New Roman" w:cs="Times New Roman"/>
          <w:sz w:val="24"/>
          <w:szCs w:val="24"/>
          <w:shd w:val="clear" w:color="auto" w:fill="FFFFFF"/>
        </w:rPr>
        <w:t xml:space="preserve">Racehorse, V., &amp; </w:t>
      </w:r>
      <w:proofErr w:type="spellStart"/>
      <w:r w:rsidRPr="00DF158E">
        <w:rPr>
          <w:rFonts w:ascii="Times New Roman" w:hAnsi="Times New Roman" w:cs="Times New Roman"/>
          <w:sz w:val="24"/>
          <w:szCs w:val="24"/>
          <w:shd w:val="clear" w:color="auto" w:fill="FFFFFF"/>
        </w:rPr>
        <w:t>Hohag</w:t>
      </w:r>
      <w:proofErr w:type="spellEnd"/>
      <w:r w:rsidRPr="00DF158E">
        <w:rPr>
          <w:rFonts w:ascii="Times New Roman" w:hAnsi="Times New Roman" w:cs="Times New Roman"/>
          <w:sz w:val="24"/>
          <w:szCs w:val="24"/>
          <w:shd w:val="clear" w:color="auto" w:fill="FFFFFF"/>
        </w:rPr>
        <w:t xml:space="preserve">, A. (2023). Achieving climate justice through land back: An overview of tribal dispossession, land return efforts, and practical mechanisms for# </w:t>
      </w:r>
      <w:proofErr w:type="spellStart"/>
      <w:r w:rsidRPr="00DF158E">
        <w:rPr>
          <w:rFonts w:ascii="Times New Roman" w:hAnsi="Times New Roman" w:cs="Times New Roman"/>
          <w:sz w:val="24"/>
          <w:szCs w:val="24"/>
          <w:shd w:val="clear" w:color="auto" w:fill="FFFFFF"/>
        </w:rPr>
        <w:t>landBack</w:t>
      </w:r>
      <w:proofErr w:type="spellEnd"/>
      <w:r w:rsidRPr="00DF158E">
        <w:rPr>
          <w:rFonts w:ascii="Times New Roman" w:hAnsi="Times New Roman" w:cs="Times New Roman"/>
          <w:sz w:val="24"/>
          <w:szCs w:val="24"/>
          <w:shd w:val="clear" w:color="auto" w:fill="FFFFFF"/>
        </w:rPr>
        <w:t>. </w:t>
      </w:r>
      <w:r w:rsidRPr="00DF158E">
        <w:rPr>
          <w:rFonts w:ascii="Times New Roman" w:hAnsi="Times New Roman" w:cs="Times New Roman"/>
          <w:i/>
          <w:iCs/>
          <w:sz w:val="24"/>
          <w:szCs w:val="24"/>
          <w:shd w:val="clear" w:color="auto" w:fill="FFFFFF"/>
        </w:rPr>
        <w:t>Colo. Nat. Resources Energy &amp; Env't L. Rev.</w:t>
      </w:r>
      <w:r w:rsidRPr="00DF158E">
        <w:rPr>
          <w:rFonts w:ascii="Times New Roman" w:hAnsi="Times New Roman" w:cs="Times New Roman"/>
          <w:sz w:val="24"/>
          <w:szCs w:val="24"/>
          <w:shd w:val="clear" w:color="auto" w:fill="FFFFFF"/>
        </w:rPr>
        <w:t>, </w:t>
      </w:r>
      <w:r w:rsidRPr="00DF158E">
        <w:rPr>
          <w:rFonts w:ascii="Times New Roman" w:hAnsi="Times New Roman" w:cs="Times New Roman"/>
          <w:i/>
          <w:iCs/>
          <w:sz w:val="24"/>
          <w:szCs w:val="24"/>
          <w:shd w:val="clear" w:color="auto" w:fill="FFFFFF"/>
        </w:rPr>
        <w:t>34</w:t>
      </w:r>
      <w:r w:rsidRPr="00DF158E">
        <w:rPr>
          <w:rFonts w:ascii="Times New Roman" w:hAnsi="Times New Roman" w:cs="Times New Roman"/>
          <w:sz w:val="24"/>
          <w:szCs w:val="24"/>
          <w:shd w:val="clear" w:color="auto" w:fill="FFFFFF"/>
        </w:rPr>
        <w:t>, 175.</w:t>
      </w:r>
    </w:p>
    <w:p w:rsidR="00DF158E" w:rsidRPr="00DF158E" w:rsidRDefault="00DF158E" w:rsidP="00DF158E">
      <w:pPr>
        <w:spacing w:line="360" w:lineRule="auto"/>
        <w:ind w:left="720" w:hanging="720"/>
        <w:jc w:val="both"/>
        <w:rPr>
          <w:rFonts w:ascii="Times New Roman" w:hAnsi="Times New Roman" w:cs="Times New Roman"/>
          <w:sz w:val="24"/>
          <w:szCs w:val="24"/>
        </w:rPr>
      </w:pPr>
      <w:r w:rsidRPr="00DF158E">
        <w:rPr>
          <w:rFonts w:ascii="Times New Roman" w:hAnsi="Times New Roman" w:cs="Times New Roman"/>
          <w:sz w:val="24"/>
          <w:szCs w:val="24"/>
          <w:shd w:val="clear" w:color="auto" w:fill="FFFFFF"/>
        </w:rPr>
        <w:t>Ritter, D. (2020). </w:t>
      </w:r>
      <w:r w:rsidRPr="00DF158E">
        <w:rPr>
          <w:rFonts w:ascii="Times New Roman" w:hAnsi="Times New Roman" w:cs="Times New Roman"/>
          <w:i/>
          <w:iCs/>
          <w:sz w:val="24"/>
          <w:szCs w:val="24"/>
          <w:shd w:val="clear" w:color="auto" w:fill="FFFFFF"/>
        </w:rPr>
        <w:t>Contesting native title: From controversy to consensus in the struggle over Indigenous land rights</w:t>
      </w:r>
      <w:r w:rsidRPr="00DF158E">
        <w:rPr>
          <w:rFonts w:ascii="Times New Roman" w:hAnsi="Times New Roman" w:cs="Times New Roman"/>
          <w:sz w:val="24"/>
          <w:szCs w:val="24"/>
          <w:shd w:val="clear" w:color="auto" w:fill="FFFFFF"/>
        </w:rPr>
        <w:t>. Routledge.</w:t>
      </w:r>
    </w:p>
    <w:p w:rsidR="00DF158E" w:rsidRPr="00DF158E" w:rsidRDefault="00DF158E" w:rsidP="00DF158E">
      <w:pPr>
        <w:spacing w:line="360" w:lineRule="auto"/>
        <w:ind w:left="720" w:hanging="720"/>
        <w:jc w:val="both"/>
        <w:rPr>
          <w:rFonts w:ascii="Times New Roman" w:hAnsi="Times New Roman" w:cs="Times New Roman"/>
          <w:sz w:val="24"/>
          <w:szCs w:val="24"/>
          <w:shd w:val="clear" w:color="auto" w:fill="FFFFFF"/>
        </w:rPr>
      </w:pPr>
      <w:r w:rsidRPr="00DF158E">
        <w:rPr>
          <w:rFonts w:ascii="Times New Roman" w:hAnsi="Times New Roman" w:cs="Times New Roman"/>
          <w:sz w:val="24"/>
          <w:szCs w:val="24"/>
          <w:shd w:val="clear" w:color="auto" w:fill="FFFFFF"/>
        </w:rPr>
        <w:t>Watt, E., Kowal, E., &amp; Cummings, C. (2020). Traditional laws meet emerging biotechnologies: the impact of genetic genealogy on indigenous land title in Australia. </w:t>
      </w:r>
      <w:r w:rsidRPr="00DF158E">
        <w:rPr>
          <w:rFonts w:ascii="Times New Roman" w:hAnsi="Times New Roman" w:cs="Times New Roman"/>
          <w:i/>
          <w:iCs/>
          <w:sz w:val="24"/>
          <w:szCs w:val="24"/>
          <w:shd w:val="clear" w:color="auto" w:fill="FFFFFF"/>
        </w:rPr>
        <w:t>Human Organization</w:t>
      </w:r>
      <w:r w:rsidRPr="00DF158E">
        <w:rPr>
          <w:rFonts w:ascii="Times New Roman" w:hAnsi="Times New Roman" w:cs="Times New Roman"/>
          <w:sz w:val="24"/>
          <w:szCs w:val="24"/>
          <w:shd w:val="clear" w:color="auto" w:fill="FFFFFF"/>
        </w:rPr>
        <w:t>, </w:t>
      </w:r>
      <w:r w:rsidRPr="00DF158E">
        <w:rPr>
          <w:rFonts w:ascii="Times New Roman" w:hAnsi="Times New Roman" w:cs="Times New Roman"/>
          <w:i/>
          <w:iCs/>
          <w:sz w:val="24"/>
          <w:szCs w:val="24"/>
          <w:shd w:val="clear" w:color="auto" w:fill="FFFFFF"/>
        </w:rPr>
        <w:t>79</w:t>
      </w:r>
      <w:r w:rsidRPr="00DF158E">
        <w:rPr>
          <w:rFonts w:ascii="Times New Roman" w:hAnsi="Times New Roman" w:cs="Times New Roman"/>
          <w:sz w:val="24"/>
          <w:szCs w:val="24"/>
          <w:shd w:val="clear" w:color="auto" w:fill="FFFFFF"/>
        </w:rPr>
        <w:t>(2), 140-149.</w:t>
      </w:r>
    </w:p>
    <w:p w:rsidR="00DF158E" w:rsidRPr="0017112B" w:rsidRDefault="00DF158E" w:rsidP="0017112B">
      <w:pPr>
        <w:spacing w:line="360" w:lineRule="auto"/>
        <w:ind w:left="720" w:hanging="720"/>
        <w:jc w:val="both"/>
        <w:rPr>
          <w:rFonts w:ascii="Times New Roman" w:hAnsi="Times New Roman" w:cs="Times New Roman"/>
          <w:sz w:val="24"/>
        </w:rPr>
      </w:pPr>
    </w:p>
    <w:p w:rsidR="0017112B" w:rsidRPr="0017112B" w:rsidRDefault="0017112B" w:rsidP="0017112B">
      <w:pPr>
        <w:spacing w:line="360" w:lineRule="auto"/>
        <w:jc w:val="both"/>
        <w:rPr>
          <w:rFonts w:ascii="Times New Roman" w:hAnsi="Times New Roman" w:cs="Times New Roman"/>
          <w:sz w:val="24"/>
          <w:szCs w:val="24"/>
        </w:rPr>
      </w:pPr>
    </w:p>
    <w:sectPr w:rsidR="0017112B" w:rsidRPr="001711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CF6DEA"/>
    <w:multiLevelType w:val="multilevel"/>
    <w:tmpl w:val="F8683E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E90"/>
    <w:rsid w:val="0002290D"/>
    <w:rsid w:val="000C1B8E"/>
    <w:rsid w:val="0017112B"/>
    <w:rsid w:val="001E0BFD"/>
    <w:rsid w:val="00585E90"/>
    <w:rsid w:val="008054E6"/>
    <w:rsid w:val="00891D51"/>
    <w:rsid w:val="00A408ED"/>
    <w:rsid w:val="00A948CB"/>
    <w:rsid w:val="00B029F7"/>
    <w:rsid w:val="00B6071B"/>
    <w:rsid w:val="00BB62CA"/>
    <w:rsid w:val="00DF158E"/>
    <w:rsid w:val="00EE2CC5"/>
    <w:rsid w:val="00EF25C3"/>
    <w:rsid w:val="00F73F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A6FCF"/>
  <w15:chartTrackingRefBased/>
  <w15:docId w15:val="{C3206613-F141-421D-8C66-2EAA8F203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112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7112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E0BF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B6071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85E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85E90"/>
    <w:rPr>
      <w:color w:val="0563C1" w:themeColor="hyperlink"/>
      <w:u w:val="single"/>
    </w:rPr>
  </w:style>
  <w:style w:type="character" w:styleId="UnresolvedMention">
    <w:name w:val="Unresolved Mention"/>
    <w:basedOn w:val="DefaultParagraphFont"/>
    <w:uiPriority w:val="99"/>
    <w:semiHidden/>
    <w:unhideWhenUsed/>
    <w:rsid w:val="00585E90"/>
    <w:rPr>
      <w:color w:val="605E5C"/>
      <w:shd w:val="clear" w:color="auto" w:fill="E1DFDD"/>
    </w:rPr>
  </w:style>
  <w:style w:type="character" w:customStyle="1" w:styleId="Heading3Char">
    <w:name w:val="Heading 3 Char"/>
    <w:basedOn w:val="DefaultParagraphFont"/>
    <w:link w:val="Heading3"/>
    <w:uiPriority w:val="9"/>
    <w:rsid w:val="001E0BFD"/>
    <w:rPr>
      <w:rFonts w:ascii="Times New Roman" w:eastAsia="Times New Roman" w:hAnsi="Times New Roman" w:cs="Times New Roman"/>
      <w:b/>
      <w:bCs/>
      <w:sz w:val="27"/>
      <w:szCs w:val="27"/>
    </w:rPr>
  </w:style>
  <w:style w:type="character" w:styleId="Strong">
    <w:name w:val="Strong"/>
    <w:basedOn w:val="DefaultParagraphFont"/>
    <w:uiPriority w:val="22"/>
    <w:qFormat/>
    <w:rsid w:val="001E0BFD"/>
    <w:rPr>
      <w:b/>
      <w:bCs/>
    </w:rPr>
  </w:style>
  <w:style w:type="character" w:styleId="Emphasis">
    <w:name w:val="Emphasis"/>
    <w:basedOn w:val="DefaultParagraphFont"/>
    <w:uiPriority w:val="20"/>
    <w:qFormat/>
    <w:rsid w:val="001E0BFD"/>
    <w:rPr>
      <w:i/>
      <w:iCs/>
    </w:rPr>
  </w:style>
  <w:style w:type="character" w:customStyle="1" w:styleId="overflow-hidden">
    <w:name w:val="overflow-hidden"/>
    <w:basedOn w:val="DefaultParagraphFont"/>
    <w:rsid w:val="001E0BFD"/>
  </w:style>
  <w:style w:type="character" w:customStyle="1" w:styleId="Heading4Char">
    <w:name w:val="Heading 4 Char"/>
    <w:basedOn w:val="DefaultParagraphFont"/>
    <w:link w:val="Heading4"/>
    <w:uiPriority w:val="9"/>
    <w:semiHidden/>
    <w:rsid w:val="00B6071B"/>
    <w:rPr>
      <w:rFonts w:asciiTheme="majorHAnsi" w:eastAsiaTheme="majorEastAsia" w:hAnsiTheme="majorHAnsi" w:cstheme="majorBidi"/>
      <w:i/>
      <w:iCs/>
      <w:color w:val="2F5496" w:themeColor="accent1" w:themeShade="BF"/>
    </w:rPr>
  </w:style>
  <w:style w:type="character" w:customStyle="1" w:styleId="Heading1Char">
    <w:name w:val="Heading 1 Char"/>
    <w:basedOn w:val="DefaultParagraphFont"/>
    <w:link w:val="Heading1"/>
    <w:uiPriority w:val="9"/>
    <w:rsid w:val="0017112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7112B"/>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17112B"/>
    <w:pPr>
      <w:outlineLvl w:val="9"/>
    </w:pPr>
  </w:style>
  <w:style w:type="paragraph" w:styleId="TOC1">
    <w:name w:val="toc 1"/>
    <w:basedOn w:val="Normal"/>
    <w:next w:val="Normal"/>
    <w:autoRedefine/>
    <w:uiPriority w:val="39"/>
    <w:unhideWhenUsed/>
    <w:rsid w:val="0017112B"/>
    <w:pPr>
      <w:spacing w:after="100"/>
    </w:pPr>
  </w:style>
  <w:style w:type="paragraph" w:styleId="TOC2">
    <w:name w:val="toc 2"/>
    <w:basedOn w:val="Normal"/>
    <w:next w:val="Normal"/>
    <w:autoRedefine/>
    <w:uiPriority w:val="39"/>
    <w:unhideWhenUsed/>
    <w:rsid w:val="0017112B"/>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tionalaglawcenter.org/wp-content/uploads/assets/bibarticles/meyersmugambwa_mabo.pdf" TargetMode="External"/><Relationship Id="rId3" Type="http://schemas.openxmlformats.org/officeDocument/2006/relationships/styles" Target="styles.xml"/><Relationship Id="rId7" Type="http://schemas.openxmlformats.org/officeDocument/2006/relationships/hyperlink" Target="https://africaportal.org/wp-content/uploads/2023/05/2016_12.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aiatsis.gov.au/explore/mabo-case"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BB6189-A568-4ABC-BD62-FD40D3898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11</Pages>
  <Words>3015</Words>
  <Characters>17192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11</cp:revision>
  <dcterms:created xsi:type="dcterms:W3CDTF">2024-11-27T06:45:00Z</dcterms:created>
  <dcterms:modified xsi:type="dcterms:W3CDTF">2024-11-28T07:04:00Z</dcterms:modified>
</cp:coreProperties>
</file>